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24C8B" w14:textId="77777777" w:rsidR="00A77F3F" w:rsidRPr="002C3BDD" w:rsidRDefault="00A77F3F" w:rsidP="00A77F3F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3GPP TSG RAN WG1 Meeting </w:t>
      </w: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NR#3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                                     R1-1716457</w:t>
      </w:r>
    </w:p>
    <w:p w14:paraId="3D1F24B9" w14:textId="77777777" w:rsidR="00A77F3F" w:rsidRDefault="00A77F3F" w:rsidP="00A77F3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Nagoya, Japan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/>
          <w:bCs/>
          <w:sz w:val="24"/>
          <w:szCs w:val="24"/>
        </w:rPr>
        <w:t>18</w:t>
      </w:r>
      <w:r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th</w:t>
      </w:r>
      <w:r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– </w:t>
      </w:r>
      <w:r>
        <w:rPr>
          <w:rFonts w:ascii="Times New Roman" w:eastAsia="SimSun" w:hAnsi="Times New Roman"/>
          <w:b/>
          <w:bCs/>
          <w:sz w:val="24"/>
          <w:szCs w:val="24"/>
        </w:rPr>
        <w:t>21</w:t>
      </w:r>
      <w:r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st</w:t>
      </w:r>
      <w:r>
        <w:rPr>
          <w:rFonts w:ascii="Times New Roman" w:eastAsia="SimSun" w:hAnsi="Times New Roman"/>
          <w:b/>
          <w:bCs/>
          <w:sz w:val="24"/>
          <w:szCs w:val="24"/>
        </w:rPr>
        <w:t xml:space="preserve">, </w:t>
      </w:r>
      <w:r w:rsidRPr="0041617D">
        <w:rPr>
          <w:rFonts w:ascii="Times New Roman" w:hAnsi="Times New Roman"/>
          <w:b/>
          <w:bCs/>
          <w:sz w:val="24"/>
          <w:szCs w:val="24"/>
          <w:lang w:eastAsia="zh-CN"/>
        </w:rPr>
        <w:t>September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2017</w:t>
      </w:r>
    </w:p>
    <w:p w14:paraId="6ED097D5" w14:textId="77777777" w:rsidR="00A77F3F" w:rsidRDefault="00A77F3F" w:rsidP="00A77F3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35DC349" w14:textId="77777777" w:rsidR="00A77F3F" w:rsidRPr="00611209" w:rsidRDefault="00A77F3F" w:rsidP="00A77F3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6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1.4.1</w:t>
      </w:r>
    </w:p>
    <w:p w14:paraId="4F199991" w14:textId="77777777" w:rsidR="00A77F3F" w:rsidRPr="00611209" w:rsidRDefault="00A77F3F" w:rsidP="00A77F3F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>
        <w:rPr>
          <w:b/>
          <w:bCs/>
          <w:sz w:val="24"/>
          <w:lang w:val="en-US"/>
        </w:rPr>
        <w:t>rce:</w:t>
      </w:r>
      <w:r>
        <w:rPr>
          <w:b/>
          <w:bCs/>
          <w:sz w:val="24"/>
          <w:lang w:val="en-US"/>
        </w:rPr>
        <w:tab/>
      </w:r>
      <w:proofErr w:type="spellStart"/>
      <w:r>
        <w:rPr>
          <w:b/>
          <w:bCs/>
          <w:sz w:val="24"/>
          <w:lang w:val="en-US"/>
        </w:rPr>
        <w:t>InterDigital</w:t>
      </w:r>
      <w:proofErr w:type="spellEnd"/>
      <w:r>
        <w:rPr>
          <w:b/>
          <w:bCs/>
          <w:sz w:val="24"/>
          <w:lang w:val="en-US"/>
        </w:rPr>
        <w:t xml:space="preserve"> Inc.</w:t>
      </w:r>
    </w:p>
    <w:p w14:paraId="2425258C" w14:textId="5DBECF7F" w:rsidR="00A77F3F" w:rsidRPr="00611209" w:rsidRDefault="00A77F3F" w:rsidP="00A77F3F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Pr="00541BD3">
        <w:rPr>
          <w:b/>
          <w:bCs/>
          <w:sz w:val="24"/>
          <w:lang w:val="en-US"/>
        </w:rPr>
        <w:t xml:space="preserve">On </w:t>
      </w:r>
      <w:r w:rsidR="00646CE8">
        <w:rPr>
          <w:rFonts w:hint="eastAsia"/>
          <w:b/>
          <w:bCs/>
          <w:sz w:val="24"/>
          <w:lang w:val="en-US"/>
        </w:rPr>
        <w:t xml:space="preserve">PRACH </w:t>
      </w:r>
      <w:r w:rsidR="00646CE8">
        <w:rPr>
          <w:b/>
          <w:bCs/>
          <w:sz w:val="24"/>
          <w:lang w:val="en-US"/>
        </w:rPr>
        <w:t>P</w:t>
      </w:r>
      <w:r w:rsidR="00646CE8">
        <w:rPr>
          <w:rFonts w:hint="eastAsia"/>
          <w:b/>
          <w:bCs/>
          <w:sz w:val="24"/>
          <w:lang w:val="en-US"/>
        </w:rPr>
        <w:t>reamble Format for C</w:t>
      </w:r>
      <w:r w:rsidRPr="00541BD3">
        <w:rPr>
          <w:rFonts w:hint="eastAsia"/>
          <w:b/>
          <w:bCs/>
          <w:sz w:val="24"/>
          <w:lang w:val="en-US"/>
        </w:rPr>
        <w:t xml:space="preserve">apacity </w:t>
      </w:r>
      <w:r w:rsidR="00646CE8">
        <w:rPr>
          <w:rFonts w:hint="eastAsia"/>
          <w:b/>
          <w:bCs/>
          <w:sz w:val="24"/>
          <w:lang w:val="en-US"/>
        </w:rPr>
        <w:t>Enhancement and Beam M</w:t>
      </w:r>
      <w:r w:rsidRPr="00541BD3">
        <w:rPr>
          <w:rFonts w:hint="eastAsia"/>
          <w:b/>
          <w:bCs/>
          <w:sz w:val="24"/>
          <w:lang w:val="en-US"/>
        </w:rPr>
        <w:t>anagement</w:t>
      </w:r>
    </w:p>
    <w:p w14:paraId="401E257B" w14:textId="77777777" w:rsidR="00A77F3F" w:rsidRPr="00611209" w:rsidRDefault="00A77F3F" w:rsidP="00A77F3F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>
        <w:rPr>
          <w:b/>
          <w:bCs/>
          <w:sz w:val="24"/>
          <w:lang w:val="en-US"/>
        </w:rPr>
        <w:t xml:space="preserve"> and Decision</w:t>
      </w:r>
    </w:p>
    <w:p w14:paraId="5F90AD4F" w14:textId="77777777" w:rsidR="00A77F3F" w:rsidRPr="00DE1E23" w:rsidRDefault="00A77F3F" w:rsidP="00A77F3F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4C55906E" w14:textId="12AD88EB" w:rsidR="00A77F3F" w:rsidRPr="00373CEA" w:rsidRDefault="00A77F3F" w:rsidP="00A77F3F">
      <w:pPr>
        <w:rPr>
          <w:rFonts w:eastAsia="MS Mincho"/>
          <w:i/>
          <w:lang w:eastAsia="ja-JP"/>
        </w:rPr>
      </w:pPr>
      <w:r w:rsidRPr="00730482">
        <w:t xml:space="preserve">It was agreed in the RAN1 meeting #85 </w:t>
      </w:r>
      <w:r>
        <w:fldChar w:fldCharType="begin"/>
      </w:r>
      <w:r>
        <w:instrText xml:space="preserve"> REF _Ref485375564 \r \h </w:instrText>
      </w:r>
      <w:r>
        <w:fldChar w:fldCharType="separate"/>
      </w:r>
      <w:r w:rsidR="00867295">
        <w:t>[2]</w:t>
      </w:r>
      <w:r>
        <w:fldChar w:fldCharType="end"/>
      </w:r>
      <w:r w:rsidRPr="00730482">
        <w:t xml:space="preserve"> that both multi-beam based and single-beam based approaches should be s</w:t>
      </w:r>
      <w:r>
        <w:t>tudied for broadcast channel,</w:t>
      </w:r>
      <w:r w:rsidRPr="00730482">
        <w:t xml:space="preserve"> system information </w:t>
      </w:r>
      <w:r>
        <w:t>transmission and random access</w:t>
      </w:r>
      <w:r w:rsidRPr="00730482">
        <w:t>.</w:t>
      </w:r>
    </w:p>
    <w:p w14:paraId="5CCC7A2A" w14:textId="431189AF" w:rsidR="00A77F3F" w:rsidRDefault="00A77F3F" w:rsidP="00A77F3F">
      <w:pPr>
        <w:rPr>
          <w:rFonts w:eastAsia="MS Mincho"/>
          <w:lang w:eastAsia="ja-JP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design principles for </w:t>
      </w:r>
      <w:r>
        <w:t>PRACH for initial access for a beam-based approach in</w:t>
      </w:r>
      <w:r w:rsidRPr="00637119">
        <w:t xml:space="preserve"> NR.</w:t>
      </w:r>
      <w:r>
        <w:t xml:space="preserve"> We discussed issues related to</w:t>
      </w:r>
      <w:r w:rsidRPr="00AF5D8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PRACH capacity enhancement and beam management.</w:t>
      </w:r>
    </w:p>
    <w:p w14:paraId="12DBD9B1" w14:textId="77777777" w:rsidR="004B78D6" w:rsidRPr="004B78D6" w:rsidRDefault="004B78D6" w:rsidP="00A77F3F">
      <w:pPr>
        <w:rPr>
          <w:rFonts w:eastAsia="MS Mincho"/>
          <w:lang w:eastAsia="ja-JP"/>
        </w:rPr>
      </w:pPr>
      <w:bookmarkStart w:id="0" w:name="_GoBack"/>
      <w:bookmarkEnd w:id="0"/>
    </w:p>
    <w:p w14:paraId="2B778DF4" w14:textId="77777777" w:rsidR="00A77F3F" w:rsidRDefault="00A77F3F" w:rsidP="00A77F3F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1" w:name="_Ref465895131"/>
      <w:r>
        <w:rPr>
          <w:sz w:val="32"/>
          <w:szCs w:val="32"/>
        </w:rPr>
        <w:t xml:space="preserve">Capacity Enhancement </w:t>
      </w:r>
      <w:bookmarkEnd w:id="1"/>
      <w:r>
        <w:rPr>
          <w:sz w:val="32"/>
          <w:szCs w:val="32"/>
        </w:rPr>
        <w:t>for PRACH</w:t>
      </w:r>
    </w:p>
    <w:p w14:paraId="248D8450" w14:textId="3D620E52" w:rsidR="00A77F3F" w:rsidRPr="00485CEF" w:rsidRDefault="00A77F3F" w:rsidP="00A77F3F">
      <w:pPr>
        <w:rPr>
          <w:lang w:eastAsia="sv-SE"/>
        </w:rPr>
      </w:pPr>
      <w:r w:rsidRPr="00485CEF">
        <w:rPr>
          <w:lang w:eastAsia="sv-SE"/>
        </w:rPr>
        <w:t>There may be need for capacity enhancement for PRACH. The reasoning for PRACH capacity enhancement may be the following [6-8]:</w:t>
      </w:r>
    </w:p>
    <w:p w14:paraId="6419AD27" w14:textId="3E250DC9" w:rsidR="00A77F3F" w:rsidRDefault="00A77F3F" w:rsidP="00A77F3F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Cs w:val="20"/>
          <w:lang w:val="en-GB" w:eastAsia="sv-SE"/>
        </w:rPr>
      </w:pPr>
      <w:r w:rsidRPr="00485CEF">
        <w:rPr>
          <w:rFonts w:ascii="Times New Roman" w:eastAsia="SimSun" w:hAnsi="Times New Roman"/>
          <w:szCs w:val="20"/>
          <w:lang w:val="en-GB" w:eastAsia="sv-SE"/>
        </w:rPr>
        <w:t>Capacity limit d</w:t>
      </w:r>
      <w:r w:rsidR="00646CE8">
        <w:rPr>
          <w:rFonts w:ascii="Times New Roman" w:eastAsia="SimSun" w:hAnsi="Times New Roman"/>
          <w:szCs w:val="20"/>
          <w:lang w:val="en-GB" w:eastAsia="sv-SE"/>
        </w:rPr>
        <w:t>ue to short sequence length</w:t>
      </w:r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</w:t>
      </w:r>
    </w:p>
    <w:p w14:paraId="4814A4EF" w14:textId="77777777" w:rsidR="00A77F3F" w:rsidRPr="00485CEF" w:rsidRDefault="00A77F3F" w:rsidP="00A77F3F">
      <w:pPr>
        <w:pStyle w:val="ListParagraph"/>
        <w:jc w:val="both"/>
        <w:rPr>
          <w:rFonts w:ascii="Times New Roman" w:eastAsia="SimSun" w:hAnsi="Times New Roman"/>
          <w:szCs w:val="20"/>
          <w:lang w:val="en-GB" w:eastAsia="sv-SE"/>
        </w:rPr>
      </w:pPr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The pure </w:t>
      </w:r>
      <w:proofErr w:type="spellStart"/>
      <w:r w:rsidRPr="00485CEF">
        <w:rPr>
          <w:rFonts w:ascii="Times New Roman" w:eastAsia="SimSun" w:hAnsi="Times New Roman"/>
          <w:szCs w:val="20"/>
          <w:lang w:val="en-GB" w:eastAsia="sv-SE"/>
        </w:rPr>
        <w:t>Zadoff</w:t>
      </w:r>
      <w:proofErr w:type="spellEnd"/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-Chu sequence with length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sv-SE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  <w:lang w:val="en-GB" w:eastAsia="sv-SE"/>
              </w:rPr>
              <m:t>zc</m:t>
            </m:r>
          </m:sub>
        </m:sSub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can provide the amount of </w:t>
      </w:r>
      <m:oMath>
        <m:f>
          <m:f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 w:eastAsia="sv-S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 w:eastAsia="sv-SE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 w:eastAsia="sv-SE"/>
                  </w:rPr>
                  <m:t>zc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szCs w:val="20"/>
                    <w:lang w:val="en-GB" w:eastAsia="sv-SE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 w:eastAsia="sv-SE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Cs w:val="20"/>
                    <w:lang w:val="en-GB" w:eastAsia="sv-SE"/>
                  </w:rPr>
                  <m:t>cs</m:t>
                </m:r>
              </m:sub>
            </m:sSub>
          </m:den>
        </m:f>
        <m:r>
          <w:rPr>
            <w:rFonts w:ascii="Cambria Math" w:eastAsia="SimSun" w:hAnsi="Cambria Math"/>
            <w:szCs w:val="20"/>
            <w:lang w:val="en-GB" w:eastAsia="sv-SE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sv-SE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  <w:lang w:val="en-GB" w:eastAsia="sv-SE"/>
              </w:rPr>
              <m:t>zc</m:t>
            </m:r>
          </m:sub>
        </m:sSub>
        <m:r>
          <w:rPr>
            <w:rFonts w:ascii="Cambria Math" w:eastAsia="SimSun" w:hAnsi="Cambria Math"/>
            <w:szCs w:val="20"/>
            <w:lang w:val="en-GB" w:eastAsia="sv-SE"/>
          </w:rPr>
          <m:t>-1)</m:t>
        </m:r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sequences, where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sv-SE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  <w:lang w:val="en-GB" w:eastAsia="sv-SE"/>
              </w:rPr>
              <m:t>cs</m:t>
            </m:r>
          </m:sub>
        </m:sSub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is the length of cyclic shift whose duration should be larger than the channel delay/spread. Then, a shorter sequence has smaller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sv-SE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  <w:lang w:val="en-GB" w:eastAsia="sv-SE"/>
              </w:rPr>
              <m:t>zc</m:t>
            </m:r>
          </m:sub>
        </m:sSub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and provides less amount of sequences.</w:t>
      </w:r>
    </w:p>
    <w:p w14:paraId="5B0830A6" w14:textId="070B9144" w:rsidR="00A77F3F" w:rsidRDefault="00646CE8" w:rsidP="00A77F3F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Cs w:val="20"/>
          <w:lang w:val="en-GB" w:eastAsia="sv-SE"/>
        </w:rPr>
      </w:pPr>
      <w:r>
        <w:rPr>
          <w:rFonts w:ascii="Times New Roman" w:eastAsia="SimSun" w:hAnsi="Times New Roman"/>
          <w:szCs w:val="20"/>
          <w:lang w:val="en-GB" w:eastAsia="sv-SE"/>
        </w:rPr>
        <w:t>Higher subcarrier spacing</w:t>
      </w:r>
      <w:r w:rsidR="00A77F3F" w:rsidRPr="00485CEF">
        <w:rPr>
          <w:rFonts w:ascii="Times New Roman" w:eastAsia="SimSun" w:hAnsi="Times New Roman"/>
          <w:szCs w:val="20"/>
          <w:lang w:val="en-GB" w:eastAsia="sv-SE"/>
        </w:rPr>
        <w:t xml:space="preserve"> </w:t>
      </w:r>
    </w:p>
    <w:p w14:paraId="643F499D" w14:textId="77777777" w:rsidR="00A77F3F" w:rsidRPr="002D6ED0" w:rsidRDefault="00A77F3F" w:rsidP="00A77F3F">
      <w:pPr>
        <w:pStyle w:val="ListParagraph"/>
        <w:jc w:val="both"/>
        <w:rPr>
          <w:rFonts w:ascii="Times New Roman" w:eastAsia="SimSun" w:hAnsi="Times New Roman"/>
          <w:szCs w:val="20"/>
          <w:lang w:val="en-GB" w:eastAsia="sv-SE"/>
        </w:rPr>
      </w:pPr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For subcarrier spacing </w:t>
      </w:r>
      <m:oMath>
        <m:r>
          <w:rPr>
            <w:rFonts w:ascii="Cambria Math" w:eastAsia="SimSun" w:hAnsi="Cambria Math"/>
            <w:szCs w:val="20"/>
            <w:lang w:val="en-GB" w:eastAsia="sv-SE"/>
          </w:rPr>
          <m:t>w</m:t>
        </m:r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Hz, the duration of one symbol is </w:t>
      </w:r>
      <m:oMath>
        <m:f>
          <m:f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fPr>
          <m:num>
            <m:r>
              <w:rPr>
                <w:rFonts w:ascii="Cambria Math" w:eastAsia="SimSun" w:hAnsi="Cambria Math"/>
                <w:szCs w:val="20"/>
                <w:lang w:val="en-GB" w:eastAsia="sv-SE"/>
              </w:rPr>
              <m:t>1</m:t>
            </m:r>
          </m:num>
          <m:den>
            <m:r>
              <w:rPr>
                <w:rFonts w:ascii="Cambria Math" w:eastAsia="SimSun" w:hAnsi="Cambria Math"/>
                <w:szCs w:val="20"/>
                <w:lang w:val="en-GB" w:eastAsia="sv-SE"/>
              </w:rPr>
              <m:t>w</m:t>
            </m:r>
          </m:den>
        </m:f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s. Assume the channel delay/spread is </w:t>
      </w:r>
      <m:oMath>
        <m:r>
          <w:rPr>
            <w:rFonts w:ascii="Cambria Math" w:eastAsia="SimSun" w:hAnsi="Cambria Math"/>
            <w:szCs w:val="20"/>
            <w:lang w:val="en-GB" w:eastAsia="sv-SE"/>
          </w:rPr>
          <m:t>∆t</m:t>
        </m:r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, then the cyclic shift </w:t>
      </w:r>
      <m:oMath>
        <m:sSub>
          <m:sSubPr>
            <m:ctrlPr>
              <w:rPr>
                <w:rFonts w:ascii="Cambria Math" w:eastAsia="SimSun" w:hAnsi="Cambria Math"/>
                <w:i/>
                <w:szCs w:val="20"/>
                <w:lang w:val="en-GB" w:eastAsia="sv-SE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sv-SE"/>
              </w:rPr>
              <m:t>N</m:t>
            </m:r>
          </m:e>
          <m:sub>
            <m:r>
              <w:rPr>
                <w:rFonts w:ascii="Cambria Math" w:eastAsia="SimSun" w:hAnsi="Cambria Math"/>
                <w:szCs w:val="20"/>
                <w:lang w:val="en-GB" w:eastAsia="sv-SE"/>
              </w:rPr>
              <m:t>cs</m:t>
            </m:r>
          </m:sub>
        </m:sSub>
      </m:oMath>
      <w:r w:rsidRPr="00485CEF">
        <w:rPr>
          <w:rFonts w:ascii="Times New Roman" w:eastAsia="SimSun" w:hAnsi="Times New Roman"/>
          <w:szCs w:val="20"/>
          <w:lang w:val="en-GB" w:eastAsia="sv-SE"/>
        </w:rPr>
        <w:t xml:space="preserve"> should satisfy :</w:t>
      </w:r>
      <w:r>
        <w:rPr>
          <w:rFonts w:ascii="Times New Roman" w:eastAsia="SimSun" w:hAnsi="Times New Roman"/>
          <w:szCs w:val="20"/>
          <w:lang w:val="en-GB" w:eastAsia="sv-S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sv-SE"/>
              </w:rPr>
            </m:ctrlPr>
          </m:sSubPr>
          <m:e>
            <m:r>
              <w:rPr>
                <w:rFonts w:ascii="Cambria Math" w:hAnsi="Cambria Math"/>
                <w:lang w:eastAsia="sv-SE"/>
              </w:rPr>
              <m:t>N</m:t>
            </m:r>
          </m:e>
          <m:sub>
            <m:r>
              <w:rPr>
                <w:rFonts w:ascii="Cambria Math" w:hAnsi="Cambria Math"/>
                <w:lang w:eastAsia="sv-SE"/>
              </w:rPr>
              <m:t>cs</m:t>
            </m:r>
          </m:sub>
        </m:sSub>
      </m:oMath>
      <w:r w:rsidRPr="00485CEF">
        <w:rPr>
          <w:rFonts w:ascii="Times New Roman" w:hAnsi="Times New Roman"/>
          <w:lang w:eastAsia="sv-SE"/>
        </w:rPr>
        <w:t xml:space="preserve">&gt; </w:t>
      </w:r>
      <m:oMath>
        <m:r>
          <w:rPr>
            <w:rFonts w:ascii="Cambria Math" w:hAnsi="Cambria Math"/>
            <w:lang w:eastAsia="sv-SE"/>
          </w:rPr>
          <m:t>∆t.w.</m:t>
        </m:r>
        <m:sSub>
          <m:sSubPr>
            <m:ctrlPr>
              <w:rPr>
                <w:rFonts w:ascii="Cambria Math" w:hAnsi="Cambria Math"/>
                <w:i/>
                <w:lang w:eastAsia="sv-SE"/>
              </w:rPr>
            </m:ctrlPr>
          </m:sSubPr>
          <m:e>
            <m:r>
              <w:rPr>
                <w:rFonts w:ascii="Cambria Math" w:hAnsi="Cambria Math"/>
                <w:lang w:eastAsia="sv-SE"/>
              </w:rPr>
              <m:t>N</m:t>
            </m:r>
          </m:e>
          <m:sub>
            <m:r>
              <w:rPr>
                <w:rFonts w:ascii="Cambria Math" w:hAnsi="Cambria Math"/>
                <w:lang w:eastAsia="sv-SE"/>
              </w:rPr>
              <m:t>zc</m:t>
            </m:r>
          </m:sub>
        </m:sSub>
      </m:oMath>
      <w:r>
        <w:rPr>
          <w:rFonts w:ascii="Times New Roman" w:hAnsi="Times New Roman"/>
          <w:lang w:eastAsia="sv-SE"/>
        </w:rPr>
        <w:t xml:space="preserve">. </w:t>
      </w:r>
      <w:r w:rsidRPr="002D6ED0">
        <w:rPr>
          <w:rFonts w:ascii="Times New Roman" w:hAnsi="Times New Roman"/>
          <w:lang w:eastAsia="sv-SE"/>
        </w:rPr>
        <w:t xml:space="preserve">According to the above formula, for the higher subcarrier spacing </w:t>
      </w:r>
      <m:oMath>
        <m:r>
          <w:rPr>
            <w:rFonts w:ascii="Cambria Math" w:hAnsi="Cambria Math"/>
            <w:lang w:eastAsia="sv-SE"/>
          </w:rPr>
          <m:t>w</m:t>
        </m:r>
      </m:oMath>
      <w:r w:rsidRPr="002D6ED0">
        <w:rPr>
          <w:rFonts w:ascii="Times New Roman" w:hAnsi="Times New Roman"/>
          <w:lang w:eastAsia="sv-SE"/>
        </w:rPr>
        <w:t xml:space="preserve">, the duration of one symbol is shorter. If the channel delay/spread is fixed, then the portion of channel delay/spread in one symbol duration </w:t>
      </w:r>
      <m:oMath>
        <m:r>
          <w:rPr>
            <w:rFonts w:ascii="Cambria Math" w:hAnsi="Cambria Math"/>
            <w:lang w:eastAsia="sv-SE"/>
          </w:rPr>
          <m:t>∆t.w</m:t>
        </m:r>
      </m:oMath>
      <w:r w:rsidRPr="002D6ED0">
        <w:rPr>
          <w:rFonts w:ascii="Times New Roman" w:hAnsi="Times New Roman"/>
          <w:lang w:eastAsia="sv-SE"/>
        </w:rPr>
        <w:t xml:space="preserve"> is higher, and the cyclic shift </w:t>
      </w:r>
      <m:oMath>
        <m:sSub>
          <m:sSubPr>
            <m:ctrlPr>
              <w:rPr>
                <w:rFonts w:ascii="Cambria Math" w:hAnsi="Cambria Math"/>
                <w:i/>
                <w:lang w:eastAsia="sv-SE"/>
              </w:rPr>
            </m:ctrlPr>
          </m:sSubPr>
          <m:e>
            <m:r>
              <w:rPr>
                <w:rFonts w:ascii="Cambria Math" w:hAnsi="Cambria Math"/>
                <w:lang w:eastAsia="sv-SE"/>
              </w:rPr>
              <m:t>N</m:t>
            </m:r>
          </m:e>
          <m:sub>
            <m:r>
              <w:rPr>
                <w:rFonts w:ascii="Cambria Math" w:hAnsi="Cambria Math"/>
                <w:lang w:eastAsia="sv-SE"/>
              </w:rPr>
              <m:t>cs</m:t>
            </m:r>
          </m:sub>
        </m:sSub>
      </m:oMath>
      <w:r w:rsidRPr="002D6ED0">
        <w:rPr>
          <w:rFonts w:ascii="Times New Roman" w:hAnsi="Times New Roman"/>
          <w:lang w:eastAsia="sv-SE"/>
        </w:rPr>
        <w:t xml:space="preserve"> should be larger to compensate for the delay/spread. Thus</w:t>
      </w:r>
      <w:r>
        <w:rPr>
          <w:rFonts w:ascii="Times New Roman" w:hAnsi="Times New Roman"/>
          <w:lang w:eastAsia="sv-SE"/>
        </w:rPr>
        <w:t>,</w:t>
      </w:r>
      <w:r w:rsidRPr="002D6ED0">
        <w:rPr>
          <w:rFonts w:ascii="Times New Roman" w:hAnsi="Times New Roman"/>
          <w:lang w:eastAsia="sv-SE"/>
        </w:rPr>
        <w:t xml:space="preserve"> the number of cyclic shifts that one sequence can support is less, and the amount of available </w:t>
      </w:r>
      <w:r w:rsidRPr="002D6ED0">
        <w:rPr>
          <w:rFonts w:ascii="Times New Roman" w:eastAsia="SimSun" w:hAnsi="Times New Roman"/>
          <w:szCs w:val="20"/>
          <w:lang w:val="en-GB" w:eastAsia="sv-SE"/>
        </w:rPr>
        <w:t>sequence is smaller.</w:t>
      </w:r>
    </w:p>
    <w:p w14:paraId="6AF7E8CB" w14:textId="28D41EFA" w:rsidR="00A77F3F" w:rsidRDefault="00A77F3F" w:rsidP="00A77F3F">
      <w:pPr>
        <w:pStyle w:val="ListParagraph"/>
        <w:numPr>
          <w:ilvl w:val="0"/>
          <w:numId w:val="5"/>
        </w:numPr>
        <w:jc w:val="both"/>
        <w:rPr>
          <w:rFonts w:ascii="Times New Roman" w:eastAsia="SimSun" w:hAnsi="Times New Roman"/>
          <w:szCs w:val="20"/>
          <w:lang w:val="en-GB" w:eastAsia="sv-SE"/>
        </w:rPr>
      </w:pPr>
      <w:r w:rsidRPr="002D6ED0">
        <w:rPr>
          <w:rFonts w:ascii="Times New Roman" w:eastAsia="SimSun" w:hAnsi="Times New Roman"/>
          <w:szCs w:val="20"/>
          <w:lang w:val="en-GB" w:eastAsia="sv-SE"/>
        </w:rPr>
        <w:t>Supp</w:t>
      </w:r>
      <w:r w:rsidR="00646CE8">
        <w:rPr>
          <w:rFonts w:ascii="Times New Roman" w:eastAsia="SimSun" w:hAnsi="Times New Roman"/>
          <w:szCs w:val="20"/>
          <w:lang w:val="en-GB" w:eastAsia="sv-SE"/>
        </w:rPr>
        <w:t>ort the indication of SS blocks</w:t>
      </w:r>
      <w:r w:rsidRPr="002D6ED0">
        <w:rPr>
          <w:rFonts w:ascii="Times New Roman" w:eastAsia="SimSun" w:hAnsi="Times New Roman"/>
          <w:szCs w:val="20"/>
          <w:lang w:val="en-GB" w:eastAsia="sv-SE"/>
        </w:rPr>
        <w:t xml:space="preserve"> </w:t>
      </w:r>
    </w:p>
    <w:p w14:paraId="43AAAF01" w14:textId="77777777" w:rsidR="00A77F3F" w:rsidRPr="00A66A0B" w:rsidRDefault="00A77F3F" w:rsidP="00A77F3F">
      <w:pPr>
        <w:pStyle w:val="ListParagraph"/>
        <w:jc w:val="both"/>
        <w:rPr>
          <w:rFonts w:ascii="Times New Roman" w:eastAsia="SimSun" w:hAnsi="Times New Roman"/>
          <w:szCs w:val="20"/>
          <w:lang w:val="en-GB" w:eastAsia="sv-SE"/>
        </w:rPr>
      </w:pPr>
      <w:r>
        <w:rPr>
          <w:rFonts w:ascii="Times New Roman" w:eastAsia="SimSun" w:hAnsi="Times New Roman"/>
          <w:szCs w:val="20"/>
          <w:lang w:val="en-GB" w:eastAsia="sv-SE"/>
        </w:rPr>
        <w:t xml:space="preserve">It was agreed that if the </w:t>
      </w:r>
      <w:r w:rsidRPr="002D6ED0">
        <w:rPr>
          <w:rFonts w:ascii="Times New Roman" w:eastAsia="SimSun" w:hAnsi="Times New Roman"/>
          <w:szCs w:val="20"/>
          <w:lang w:val="en-GB" w:eastAsia="sv-SE"/>
        </w:rPr>
        <w:t>association between PRACH preamble/resource and SS blocks</w:t>
      </w:r>
      <w:r>
        <w:rPr>
          <w:rFonts w:ascii="Times New Roman" w:eastAsia="SimSun" w:hAnsi="Times New Roman"/>
          <w:szCs w:val="20"/>
          <w:lang w:val="en-GB" w:eastAsia="sv-SE"/>
        </w:rPr>
        <w:t xml:space="preserve"> is indicated to UE</w:t>
      </w:r>
      <w:r w:rsidRPr="002D6ED0">
        <w:rPr>
          <w:rFonts w:ascii="Times New Roman" w:eastAsia="SimSun" w:hAnsi="Times New Roman"/>
          <w:szCs w:val="20"/>
          <w:lang w:val="en-GB" w:eastAsia="sv-SE"/>
        </w:rPr>
        <w:t xml:space="preserve">, UE </w:t>
      </w:r>
      <w:r>
        <w:rPr>
          <w:rFonts w:ascii="Times New Roman" w:eastAsia="SimSun" w:hAnsi="Times New Roman"/>
          <w:szCs w:val="20"/>
          <w:lang w:val="en-GB" w:eastAsia="sv-SE"/>
        </w:rPr>
        <w:t>should</w:t>
      </w:r>
      <w:r w:rsidRPr="002D6ED0">
        <w:rPr>
          <w:rFonts w:ascii="Times New Roman" w:eastAsia="SimSun" w:hAnsi="Times New Roman"/>
          <w:szCs w:val="20"/>
          <w:lang w:val="en-GB" w:eastAsia="sv-SE"/>
        </w:rPr>
        <w:t xml:space="preserve"> report the selected SS block through association between PRACH preamble/resource and SS blocks. </w:t>
      </w:r>
      <w:r>
        <w:rPr>
          <w:rFonts w:ascii="Times New Roman" w:eastAsia="SimSun" w:hAnsi="Times New Roman"/>
          <w:szCs w:val="20"/>
          <w:lang w:val="en-GB" w:eastAsia="sv-SE"/>
        </w:rPr>
        <w:t xml:space="preserve">There are up to 64 SS blocks in NR. </w:t>
      </w:r>
      <w:r w:rsidRPr="002D6ED0">
        <w:rPr>
          <w:rFonts w:ascii="Times New Roman" w:eastAsia="SimSun" w:hAnsi="Times New Roman"/>
          <w:szCs w:val="20"/>
          <w:lang w:val="en-GB" w:eastAsia="sv-SE"/>
        </w:rPr>
        <w:t xml:space="preserve">Hence, </w:t>
      </w:r>
      <w:r>
        <w:rPr>
          <w:rFonts w:ascii="Times New Roman" w:eastAsia="SimSun" w:hAnsi="Times New Roman"/>
          <w:szCs w:val="20"/>
          <w:lang w:val="en-GB" w:eastAsia="sv-SE"/>
        </w:rPr>
        <w:t xml:space="preserve">when </w:t>
      </w:r>
      <w:r w:rsidRPr="002D6ED0">
        <w:rPr>
          <w:rFonts w:ascii="Times New Roman" w:eastAsia="SimSun" w:hAnsi="Times New Roman"/>
          <w:szCs w:val="20"/>
          <w:lang w:val="en-GB" w:eastAsia="sv-SE"/>
        </w:rPr>
        <w:t xml:space="preserve">compared with LTE system, in order to report the SS block, NR needs more PRACH preamble/resource. </w:t>
      </w:r>
    </w:p>
    <w:p w14:paraId="06088B90" w14:textId="77777777" w:rsidR="00A77F3F" w:rsidRPr="00485CEF" w:rsidRDefault="00A77F3F" w:rsidP="00A77F3F"/>
    <w:p w14:paraId="10DED0C2" w14:textId="77777777" w:rsidR="00A77F3F" w:rsidRPr="00485CEF" w:rsidRDefault="00A77F3F" w:rsidP="00A77F3F">
      <w:pPr>
        <w:rPr>
          <w:lang w:eastAsia="sv-SE"/>
        </w:rPr>
      </w:pPr>
      <w:r w:rsidRPr="00485CEF">
        <w:rPr>
          <w:lang w:eastAsia="sv-SE"/>
        </w:rPr>
        <w:t xml:space="preserve">In addition, </w:t>
      </w:r>
      <w:r>
        <w:rPr>
          <w:lang w:eastAsia="sv-SE"/>
        </w:rPr>
        <w:t>n</w:t>
      </w:r>
      <w:r w:rsidRPr="00485CEF">
        <w:rPr>
          <w:lang w:eastAsia="sv-SE"/>
        </w:rPr>
        <w:t xml:space="preserve">ew </w:t>
      </w:r>
      <w:r>
        <w:rPr>
          <w:lang w:eastAsia="sv-SE"/>
        </w:rPr>
        <w:t xml:space="preserve">use </w:t>
      </w:r>
      <w:r w:rsidRPr="00485CEF">
        <w:rPr>
          <w:lang w:eastAsia="sv-SE"/>
        </w:rPr>
        <w:t xml:space="preserve">cases </w:t>
      </w:r>
      <w:r>
        <w:rPr>
          <w:lang w:eastAsia="sv-SE"/>
        </w:rPr>
        <w:t>may require the use of</w:t>
      </w:r>
      <w:r w:rsidRPr="00485CEF">
        <w:rPr>
          <w:lang w:eastAsia="sv-SE"/>
        </w:rPr>
        <w:t xml:space="preserve"> preamble sequences. </w:t>
      </w:r>
      <w:r>
        <w:rPr>
          <w:lang w:eastAsia="sv-SE"/>
        </w:rPr>
        <w:t>For example, for beam failure recovery or</w:t>
      </w:r>
      <w:r w:rsidRPr="00485CEF">
        <w:rPr>
          <w:lang w:eastAsia="sv-SE"/>
        </w:rPr>
        <w:t xml:space="preserve"> on-demand SI, additional </w:t>
      </w:r>
      <w:r>
        <w:rPr>
          <w:lang w:eastAsia="sv-SE"/>
        </w:rPr>
        <w:t>PRACH preamble sequences may be</w:t>
      </w:r>
      <w:r w:rsidRPr="00485CEF">
        <w:rPr>
          <w:lang w:eastAsia="sv-SE"/>
        </w:rPr>
        <w:t xml:space="preserve"> needed. </w:t>
      </w:r>
    </w:p>
    <w:p w14:paraId="4EFB53DB" w14:textId="77777777" w:rsidR="00A77F3F" w:rsidRPr="00485CEF" w:rsidRDefault="00A77F3F" w:rsidP="00A77F3F"/>
    <w:p w14:paraId="1ACCC6F0" w14:textId="77777777" w:rsidR="00A77F3F" w:rsidRPr="008C4F79" w:rsidRDefault="00A77F3F" w:rsidP="00A77F3F">
      <w:pPr>
        <w:rPr>
          <w:i/>
          <w:szCs w:val="22"/>
        </w:rPr>
      </w:pPr>
      <w:r>
        <w:rPr>
          <w:b/>
          <w:i/>
          <w:u w:val="single"/>
          <w:lang w:eastAsia="sv-SE"/>
        </w:rPr>
        <w:t>Proposal 1</w:t>
      </w:r>
      <w:r w:rsidRPr="00EE38DC">
        <w:rPr>
          <w:b/>
          <w:i/>
          <w:u w:val="single"/>
          <w:lang w:eastAsia="sv-SE"/>
        </w:rPr>
        <w:t xml:space="preserve">: </w:t>
      </w:r>
      <w:r>
        <w:rPr>
          <w:rFonts w:eastAsia="MS Mincho"/>
          <w:i/>
          <w:lang w:eastAsia="ja-JP"/>
        </w:rPr>
        <w:t>Capacity enhancement for PRACH may be considered.</w:t>
      </w:r>
    </w:p>
    <w:p w14:paraId="3CF89884" w14:textId="77777777" w:rsidR="00A77F3F" w:rsidRDefault="00A77F3F" w:rsidP="00A77F3F">
      <w:pPr>
        <w:rPr>
          <w:rFonts w:eastAsia="MS Mincho"/>
          <w:lang w:eastAsia="ja-JP"/>
        </w:rPr>
      </w:pPr>
    </w:p>
    <w:p w14:paraId="27FFC3B1" w14:textId="77777777" w:rsidR="00A77F3F" w:rsidRDefault="00A77F3F" w:rsidP="00A77F3F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lastRenderedPageBreak/>
        <w:t>Beam Management with PRACH</w:t>
      </w:r>
    </w:p>
    <w:p w14:paraId="1A031892" w14:textId="77777777" w:rsidR="00A77F3F" w:rsidRDefault="00A77F3F" w:rsidP="00A77F3F">
      <w:pPr>
        <w:pStyle w:val="CommentText"/>
        <w:rPr>
          <w:rFonts w:eastAsia="MS Mincho"/>
          <w:sz w:val="22"/>
          <w:szCs w:val="22"/>
          <w:lang w:eastAsia="ja-JP"/>
        </w:rPr>
      </w:pPr>
      <w:r w:rsidRPr="00933800">
        <w:rPr>
          <w:rFonts w:eastAsia="MS Mincho"/>
          <w:sz w:val="22"/>
          <w:szCs w:val="22"/>
          <w:lang w:eastAsia="ja-JP"/>
        </w:rPr>
        <w:t xml:space="preserve">It has been agreed to support the non-contention based channel for beam failure recovery scenario, which uses a resource orthogonal to resources of other PRACH transmissions, at least for the </w:t>
      </w:r>
      <w:r>
        <w:rPr>
          <w:rFonts w:eastAsia="MS Mincho"/>
          <w:sz w:val="22"/>
          <w:szCs w:val="22"/>
          <w:lang w:eastAsia="ja-JP"/>
        </w:rPr>
        <w:t>frequency division multiplexing (</w:t>
      </w:r>
      <w:r w:rsidRPr="00933800">
        <w:rPr>
          <w:rFonts w:eastAsia="MS Mincho"/>
          <w:sz w:val="22"/>
          <w:szCs w:val="22"/>
          <w:lang w:eastAsia="ja-JP"/>
        </w:rPr>
        <w:t>FDM</w:t>
      </w:r>
      <w:r>
        <w:rPr>
          <w:rFonts w:eastAsia="MS Mincho"/>
          <w:sz w:val="22"/>
          <w:szCs w:val="22"/>
          <w:lang w:eastAsia="ja-JP"/>
        </w:rPr>
        <w:t>)</w:t>
      </w:r>
      <w:r w:rsidRPr="00933800">
        <w:rPr>
          <w:rFonts w:eastAsia="MS Mincho"/>
          <w:sz w:val="22"/>
          <w:szCs w:val="22"/>
          <w:lang w:eastAsia="ja-JP"/>
        </w:rPr>
        <w:t xml:space="preserve"> case. For the way of achieving orthogonality, TDM/</w:t>
      </w:r>
      <w:r>
        <w:rPr>
          <w:rFonts w:eastAsia="MS Mincho"/>
          <w:sz w:val="22"/>
          <w:szCs w:val="22"/>
          <w:lang w:eastAsia="ja-JP"/>
        </w:rPr>
        <w:t>F</w:t>
      </w:r>
      <w:r w:rsidRPr="00933800">
        <w:rPr>
          <w:rFonts w:eastAsia="MS Mincho"/>
          <w:sz w:val="22"/>
          <w:szCs w:val="22"/>
          <w:lang w:eastAsia="ja-JP"/>
        </w:rPr>
        <w:t>DM/</w:t>
      </w:r>
      <w:r>
        <w:rPr>
          <w:rFonts w:eastAsia="MS Mincho"/>
          <w:sz w:val="22"/>
          <w:szCs w:val="22"/>
          <w:lang w:eastAsia="ja-JP"/>
        </w:rPr>
        <w:t>C</w:t>
      </w:r>
      <w:r w:rsidRPr="00933800">
        <w:rPr>
          <w:rFonts w:eastAsia="MS Mincho"/>
          <w:sz w:val="22"/>
          <w:szCs w:val="22"/>
          <w:lang w:eastAsia="ja-JP"/>
        </w:rPr>
        <w:t xml:space="preserve">DM can be used. </w:t>
      </w:r>
      <w:r>
        <w:rPr>
          <w:rFonts w:eastAsia="MS Mincho"/>
          <w:sz w:val="22"/>
          <w:szCs w:val="22"/>
          <w:lang w:eastAsia="ja-JP"/>
        </w:rPr>
        <w:t>In this case, a</w:t>
      </w:r>
      <w:r w:rsidRPr="00933800">
        <w:rPr>
          <w:rFonts w:eastAsia="MS Mincho"/>
          <w:sz w:val="22"/>
          <w:szCs w:val="22"/>
          <w:lang w:eastAsia="ja-JP"/>
        </w:rPr>
        <w:t xml:space="preserve"> dedicated </w:t>
      </w:r>
      <w:r>
        <w:rPr>
          <w:rFonts w:eastAsia="MS Mincho"/>
          <w:sz w:val="22"/>
          <w:szCs w:val="22"/>
          <w:lang w:eastAsia="ja-JP"/>
        </w:rPr>
        <w:t xml:space="preserve">time, frequency resource and/or PRACH </w:t>
      </w:r>
      <w:r w:rsidRPr="00933800">
        <w:rPr>
          <w:rFonts w:eastAsia="MS Mincho"/>
          <w:sz w:val="22"/>
          <w:szCs w:val="22"/>
          <w:lang w:eastAsia="ja-JP"/>
        </w:rPr>
        <w:t xml:space="preserve">preamble </w:t>
      </w:r>
      <w:r>
        <w:rPr>
          <w:rFonts w:eastAsia="MS Mincho"/>
          <w:sz w:val="22"/>
          <w:szCs w:val="22"/>
          <w:lang w:eastAsia="ja-JP"/>
        </w:rPr>
        <w:t xml:space="preserve">may be </w:t>
      </w:r>
      <w:r w:rsidRPr="00933800">
        <w:rPr>
          <w:rFonts w:eastAsia="MS Mincho"/>
          <w:sz w:val="22"/>
          <w:szCs w:val="22"/>
          <w:lang w:eastAsia="ja-JP"/>
        </w:rPr>
        <w:t xml:space="preserve">assigned </w:t>
      </w:r>
      <w:r>
        <w:rPr>
          <w:rFonts w:eastAsia="MS Mincho"/>
          <w:sz w:val="22"/>
          <w:szCs w:val="22"/>
          <w:lang w:eastAsia="ja-JP"/>
        </w:rPr>
        <w:t xml:space="preserve">to </w:t>
      </w:r>
      <w:r w:rsidRPr="00933800">
        <w:rPr>
          <w:rFonts w:eastAsia="MS Mincho"/>
          <w:sz w:val="22"/>
          <w:szCs w:val="22"/>
          <w:lang w:eastAsia="ja-JP"/>
        </w:rPr>
        <w:t>UE to identify UE</w:t>
      </w:r>
      <w:r>
        <w:rPr>
          <w:rFonts w:eastAsia="MS Mincho"/>
          <w:sz w:val="22"/>
          <w:szCs w:val="22"/>
          <w:lang w:eastAsia="ja-JP"/>
        </w:rPr>
        <w:t xml:space="preserve">, and the corresponding PRACH resources to different candidate </w:t>
      </w:r>
      <w:proofErr w:type="spellStart"/>
      <w:r>
        <w:rPr>
          <w:rFonts w:eastAsia="MS Mincho"/>
          <w:sz w:val="22"/>
          <w:szCs w:val="22"/>
          <w:lang w:eastAsia="ja-JP"/>
        </w:rPr>
        <w:t>gNB</w:t>
      </w:r>
      <w:proofErr w:type="spellEnd"/>
      <w:r>
        <w:rPr>
          <w:rFonts w:eastAsia="MS Mincho"/>
          <w:sz w:val="22"/>
          <w:szCs w:val="22"/>
          <w:lang w:eastAsia="ja-JP"/>
        </w:rPr>
        <w:t xml:space="preserve"> Rx beam is pre-configured by </w:t>
      </w:r>
      <w:proofErr w:type="spellStart"/>
      <w:r>
        <w:rPr>
          <w:rFonts w:eastAsia="MS Mincho"/>
          <w:sz w:val="22"/>
          <w:szCs w:val="22"/>
          <w:lang w:eastAsia="ja-JP"/>
        </w:rPr>
        <w:t>gNB</w:t>
      </w:r>
      <w:proofErr w:type="spellEnd"/>
      <w:r w:rsidRPr="00933800">
        <w:rPr>
          <w:rFonts w:eastAsia="MS Mincho"/>
          <w:sz w:val="22"/>
          <w:szCs w:val="22"/>
          <w:lang w:eastAsia="ja-JP"/>
        </w:rPr>
        <w:t xml:space="preserve">. For example, </w:t>
      </w:r>
      <w:proofErr w:type="spellStart"/>
      <w:r w:rsidRPr="00933800">
        <w:rPr>
          <w:rFonts w:eastAsia="MS Mincho"/>
          <w:sz w:val="22"/>
          <w:szCs w:val="22"/>
          <w:lang w:eastAsia="ja-JP"/>
        </w:rPr>
        <w:t>gNB</w:t>
      </w:r>
      <w:proofErr w:type="spellEnd"/>
      <w:r w:rsidRPr="00933800">
        <w:rPr>
          <w:rFonts w:eastAsia="MS Mincho"/>
          <w:sz w:val="22"/>
          <w:szCs w:val="22"/>
          <w:lang w:eastAsia="ja-JP"/>
        </w:rPr>
        <w:t xml:space="preserve"> </w:t>
      </w:r>
      <w:r>
        <w:rPr>
          <w:rFonts w:eastAsia="MS Mincho"/>
          <w:sz w:val="22"/>
          <w:szCs w:val="22"/>
          <w:lang w:eastAsia="ja-JP"/>
        </w:rPr>
        <w:t>may assign a</w:t>
      </w:r>
      <w:r w:rsidRPr="00933800">
        <w:rPr>
          <w:rFonts w:eastAsia="MS Mincho"/>
          <w:sz w:val="22"/>
          <w:szCs w:val="22"/>
          <w:lang w:eastAsia="ja-JP"/>
        </w:rPr>
        <w:t xml:space="preserve"> dedicated preamble to UE, and UE </w:t>
      </w:r>
      <w:r>
        <w:rPr>
          <w:rFonts w:eastAsia="MS Mincho"/>
          <w:sz w:val="22"/>
          <w:szCs w:val="22"/>
          <w:lang w:eastAsia="ja-JP"/>
        </w:rPr>
        <w:t xml:space="preserve">may </w:t>
      </w:r>
      <w:r w:rsidRPr="00933800">
        <w:rPr>
          <w:rFonts w:eastAsia="MS Mincho"/>
          <w:sz w:val="22"/>
          <w:szCs w:val="22"/>
          <w:lang w:eastAsia="ja-JP"/>
        </w:rPr>
        <w:t xml:space="preserve">choose a </w:t>
      </w:r>
      <w:r>
        <w:rPr>
          <w:rFonts w:eastAsia="MS Mincho"/>
          <w:sz w:val="22"/>
          <w:szCs w:val="22"/>
          <w:lang w:eastAsia="ja-JP"/>
        </w:rPr>
        <w:t>PRACH</w:t>
      </w:r>
      <w:r w:rsidRPr="00933800">
        <w:rPr>
          <w:rFonts w:eastAsia="MS Mincho"/>
          <w:sz w:val="22"/>
          <w:szCs w:val="22"/>
          <w:lang w:eastAsia="ja-JP"/>
        </w:rPr>
        <w:t xml:space="preserve"> slot indicating the candidate SS block to transmit the dedicated preamble.  </w:t>
      </w:r>
    </w:p>
    <w:p w14:paraId="03D26685" w14:textId="77777777" w:rsidR="00A77F3F" w:rsidRPr="00933800" w:rsidRDefault="00A77F3F" w:rsidP="00A77F3F">
      <w:pPr>
        <w:pStyle w:val="CommentText"/>
        <w:rPr>
          <w:rFonts w:eastAsia="MS Mincho"/>
          <w:sz w:val="22"/>
          <w:szCs w:val="22"/>
          <w:lang w:eastAsia="ja-JP"/>
        </w:rPr>
      </w:pPr>
      <w:r w:rsidRPr="00933800">
        <w:rPr>
          <w:rFonts w:eastAsia="MS Mincho"/>
          <w:sz w:val="22"/>
          <w:szCs w:val="22"/>
          <w:lang w:eastAsia="ja-JP"/>
        </w:rPr>
        <w:t xml:space="preserve">However, it will be a huge challenge </w:t>
      </w:r>
      <w:r>
        <w:rPr>
          <w:rFonts w:eastAsia="MS Mincho"/>
          <w:sz w:val="22"/>
          <w:szCs w:val="22"/>
          <w:lang w:eastAsia="ja-JP"/>
        </w:rPr>
        <w:t>in terms of</w:t>
      </w:r>
      <w:r w:rsidRPr="00933800">
        <w:rPr>
          <w:rFonts w:eastAsia="MS Mincho"/>
          <w:sz w:val="22"/>
          <w:szCs w:val="22"/>
          <w:lang w:eastAsia="ja-JP"/>
        </w:rPr>
        <w:t xml:space="preserve"> the PRACH capacity if assigning each UE in connected mode with dedicated preambles. When and how to assign the dedicated preamble to UE for beam failure recovery needs further study. </w:t>
      </w:r>
      <w:r>
        <w:rPr>
          <w:rFonts w:eastAsia="MS Mincho"/>
          <w:sz w:val="22"/>
          <w:szCs w:val="22"/>
          <w:lang w:eastAsia="ja-JP"/>
        </w:rPr>
        <w:t xml:space="preserve">When there are </w:t>
      </w:r>
      <w:r w:rsidRPr="00933800">
        <w:rPr>
          <w:rFonts w:eastAsia="MS Mincho"/>
          <w:sz w:val="22"/>
          <w:szCs w:val="22"/>
          <w:lang w:eastAsia="ja-JP"/>
        </w:rPr>
        <w:t xml:space="preserve">no </w:t>
      </w:r>
      <w:r>
        <w:rPr>
          <w:rFonts w:eastAsia="MS Mincho"/>
          <w:sz w:val="22"/>
          <w:szCs w:val="22"/>
          <w:lang w:eastAsia="ja-JP"/>
        </w:rPr>
        <w:t xml:space="preserve">dedicated </w:t>
      </w:r>
      <w:r w:rsidRPr="00933800">
        <w:rPr>
          <w:rFonts w:eastAsia="MS Mincho"/>
          <w:sz w:val="22"/>
          <w:szCs w:val="22"/>
          <w:lang w:eastAsia="ja-JP"/>
        </w:rPr>
        <w:t xml:space="preserve">RACH resources for beam failure recovery, the contention based RACH </w:t>
      </w:r>
      <w:r>
        <w:rPr>
          <w:rFonts w:eastAsia="MS Mincho"/>
          <w:sz w:val="22"/>
          <w:szCs w:val="22"/>
          <w:lang w:eastAsia="ja-JP"/>
        </w:rPr>
        <w:t xml:space="preserve">also </w:t>
      </w:r>
      <w:r w:rsidRPr="00933800">
        <w:rPr>
          <w:rFonts w:eastAsia="MS Mincho"/>
          <w:sz w:val="22"/>
          <w:szCs w:val="22"/>
          <w:lang w:eastAsia="ja-JP"/>
        </w:rPr>
        <w:t xml:space="preserve">can be used as a supplement method.  </w:t>
      </w:r>
    </w:p>
    <w:p w14:paraId="39B3A8C0" w14:textId="77777777" w:rsidR="00A77F3F" w:rsidRDefault="00A77F3F" w:rsidP="00A77F3F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Need of PRACH format for capacity enhancement and beam management may be further investigated.</w:t>
      </w:r>
    </w:p>
    <w:p w14:paraId="3C5D9C93" w14:textId="77777777" w:rsidR="00A77F3F" w:rsidRDefault="00A77F3F" w:rsidP="00A77F3F">
      <w:pPr>
        <w:rPr>
          <w:rFonts w:eastAsia="MS Mincho"/>
          <w:lang w:eastAsia="ja-JP"/>
        </w:rPr>
      </w:pPr>
    </w:p>
    <w:p w14:paraId="6E4C9089" w14:textId="77777777" w:rsidR="00A77F3F" w:rsidRDefault="00A77F3F" w:rsidP="00A77F3F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Simulations Results and Discussions </w:t>
      </w:r>
    </w:p>
    <w:p w14:paraId="0A51CF82" w14:textId="285DC162" w:rsidR="00A77F3F" w:rsidRPr="00056F4C" w:rsidRDefault="00A77F3F" w:rsidP="00A77F3F">
      <w:pPr>
        <w:rPr>
          <w:lang w:eastAsia="sv-SE"/>
        </w:rPr>
      </w:pPr>
      <w:r>
        <w:rPr>
          <w:lang w:eastAsia="sv-SE"/>
        </w:rPr>
        <w:t>The c</w:t>
      </w:r>
      <w:r w:rsidRPr="00421B10">
        <w:rPr>
          <w:lang w:eastAsia="sv-SE"/>
        </w:rPr>
        <w:t>omparison</w:t>
      </w:r>
      <w:r>
        <w:rPr>
          <w:lang w:eastAsia="sv-SE"/>
        </w:rPr>
        <w:t xml:space="preserve"> for different approaches of capacity enhancement is </w:t>
      </w:r>
      <w:r w:rsidRPr="00056F4C">
        <w:rPr>
          <w:lang w:eastAsia="sv-SE"/>
        </w:rPr>
        <w:t xml:space="preserve">summarized in </w:t>
      </w:r>
      <w:r w:rsidRPr="00056F4C">
        <w:rPr>
          <w:lang w:eastAsia="sv-SE"/>
        </w:rPr>
        <w:fldChar w:fldCharType="begin"/>
      </w:r>
      <w:r w:rsidRPr="00056F4C">
        <w:rPr>
          <w:lang w:eastAsia="sv-SE"/>
        </w:rPr>
        <w:instrText xml:space="preserve"> REF _Ref492591174 \h  \* MERGEFORMAT </w:instrText>
      </w:r>
      <w:r w:rsidRPr="00056F4C">
        <w:rPr>
          <w:lang w:eastAsia="sv-SE"/>
        </w:rPr>
      </w:r>
      <w:r w:rsidRPr="00056F4C">
        <w:rPr>
          <w:lang w:eastAsia="sv-SE"/>
        </w:rPr>
        <w:fldChar w:fldCharType="separate"/>
      </w:r>
      <w:r w:rsidR="00867295" w:rsidRPr="00867295">
        <w:t xml:space="preserve">Table </w:t>
      </w:r>
      <w:r w:rsidR="00867295" w:rsidRPr="00867295">
        <w:rPr>
          <w:noProof/>
        </w:rPr>
        <w:t>1</w:t>
      </w:r>
      <w:r w:rsidRPr="00056F4C">
        <w:rPr>
          <w:lang w:eastAsia="sv-SE"/>
        </w:rPr>
        <w:fldChar w:fldCharType="end"/>
      </w:r>
      <w:r w:rsidRPr="00056F4C">
        <w:rPr>
          <w:lang w:eastAsia="sv-SE"/>
        </w:rPr>
        <w:t>.</w:t>
      </w:r>
    </w:p>
    <w:p w14:paraId="7F926BE4" w14:textId="77777777" w:rsidR="00A77F3F" w:rsidRDefault="00A77F3F" w:rsidP="00A77F3F">
      <w:pPr>
        <w:pStyle w:val="ListParagraph"/>
      </w:pPr>
    </w:p>
    <w:p w14:paraId="2F41F67A" w14:textId="4A76C3EC" w:rsidR="00A77F3F" w:rsidRDefault="00A77F3F" w:rsidP="00A77F3F">
      <w:pPr>
        <w:pStyle w:val="ListParagraph"/>
        <w:jc w:val="center"/>
        <w:rPr>
          <w:b/>
        </w:rPr>
      </w:pPr>
      <w:bookmarkStart w:id="2" w:name="_Ref492591174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867295">
        <w:rPr>
          <w:b/>
          <w:noProof/>
        </w:rPr>
        <w:t>1</w:t>
      </w:r>
      <w:r w:rsidRPr="00285E84">
        <w:rPr>
          <w:b/>
        </w:rPr>
        <w:fldChar w:fldCharType="end"/>
      </w:r>
      <w:bookmarkEnd w:id="2"/>
      <w:r w:rsidRPr="00285E84">
        <w:rPr>
          <w:b/>
        </w:rPr>
        <w:t xml:space="preserve">. </w:t>
      </w:r>
      <w:r>
        <w:rPr>
          <w:b/>
        </w:rPr>
        <w:t>Comparison for Different Approaches of Capacity Enhancement</w:t>
      </w:r>
    </w:p>
    <w:p w14:paraId="1099687C" w14:textId="77777777" w:rsidR="00A77F3F" w:rsidRDefault="00A77F3F" w:rsidP="00A77F3F">
      <w:pPr>
        <w:pStyle w:val="ListParagraph"/>
        <w:jc w:val="center"/>
      </w:pPr>
    </w:p>
    <w:tbl>
      <w:tblPr>
        <w:tblStyle w:val="TableGrid"/>
        <w:tblW w:w="918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630"/>
        <w:gridCol w:w="3330"/>
        <w:gridCol w:w="2430"/>
        <w:gridCol w:w="2790"/>
      </w:tblGrid>
      <w:tr w:rsidR="00A77F3F" w14:paraId="1C392087" w14:textId="77777777" w:rsidTr="00C245AC">
        <w:tc>
          <w:tcPr>
            <w:tcW w:w="630" w:type="dxa"/>
          </w:tcPr>
          <w:p w14:paraId="684A1F6E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</w:p>
        </w:tc>
        <w:tc>
          <w:tcPr>
            <w:tcW w:w="3330" w:type="dxa"/>
          </w:tcPr>
          <w:p w14:paraId="7EA4BC9D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Option 2 with OCC</w:t>
            </w:r>
          </w:p>
        </w:tc>
        <w:tc>
          <w:tcPr>
            <w:tcW w:w="2430" w:type="dxa"/>
          </w:tcPr>
          <w:p w14:paraId="10E4C454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ZC covered by M-sequence</w:t>
            </w:r>
          </w:p>
        </w:tc>
        <w:tc>
          <w:tcPr>
            <w:tcW w:w="2790" w:type="dxa"/>
          </w:tcPr>
          <w:p w14:paraId="334C9692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Option 4, method 1</w:t>
            </w:r>
          </w:p>
        </w:tc>
      </w:tr>
      <w:tr w:rsidR="00A77F3F" w14:paraId="7B950F86" w14:textId="77777777" w:rsidTr="00C245AC">
        <w:tc>
          <w:tcPr>
            <w:tcW w:w="630" w:type="dxa"/>
          </w:tcPr>
          <w:p w14:paraId="56A1AB71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Pros</w:t>
            </w:r>
          </w:p>
        </w:tc>
        <w:tc>
          <w:tcPr>
            <w:tcW w:w="3330" w:type="dxa"/>
          </w:tcPr>
          <w:p w14:paraId="133AE412" w14:textId="77777777" w:rsidR="00A77F3F" w:rsidRPr="00230694" w:rsidRDefault="00A77F3F" w:rsidP="00C245A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230694">
              <w:rPr>
                <w:rFonts w:ascii="Times New Roman" w:hAnsi="Times New Roman"/>
              </w:rPr>
              <w:t xml:space="preserve">RACH capacity is enhanced. The number of supported preamble is </w:t>
            </w:r>
          </w:p>
          <w:p w14:paraId="554C4E18" w14:textId="77777777" w:rsidR="00A77F3F" w:rsidRPr="00230694" w:rsidRDefault="0045138C" w:rsidP="00C245AC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zc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cs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</w:rPr>
                  <m:t>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zc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RP</m:t>
                    </m:r>
                  </m:sub>
                </m:sSub>
              </m:oMath>
            </m:oMathPara>
          </w:p>
          <w:p w14:paraId="6B5CDA77" w14:textId="77777777" w:rsidR="00A77F3F" w:rsidRPr="00230694" w:rsidRDefault="00A77F3F" w:rsidP="00C245A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Improve the link budget by 10*log10(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RP</m:t>
                  </m:r>
                </m:sub>
              </m:sSub>
            </m:oMath>
            <w:r w:rsidRPr="00230694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230694">
              <w:rPr>
                <w:rFonts w:ascii="Times New Roman" w:hAnsi="Times New Roman"/>
              </w:rPr>
              <w:t>dB due to the repetition of the short sequences</w:t>
            </w:r>
          </w:p>
          <w:p w14:paraId="6435E8B6" w14:textId="77777777" w:rsidR="00A77F3F" w:rsidRPr="00230694" w:rsidRDefault="00A77F3F" w:rsidP="00C245A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Low complexity</w:t>
            </w:r>
          </w:p>
        </w:tc>
        <w:tc>
          <w:tcPr>
            <w:tcW w:w="2430" w:type="dxa"/>
          </w:tcPr>
          <w:p w14:paraId="032D7419" w14:textId="77777777" w:rsidR="00A77F3F" w:rsidRPr="00230694" w:rsidRDefault="00A77F3F" w:rsidP="00C245A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</w:t>
            </w:r>
            <w:r w:rsidRPr="00230694">
              <w:rPr>
                <w:rFonts w:ascii="Times New Roman" w:hAnsi="Times New Roman"/>
              </w:rPr>
              <w:t xml:space="preserve">RACH capacity is enhanced. The number of the supported preamble is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w:br/>
              </m:r>
            </m:oMath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ZC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cs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</w:rPr>
                  <m:t>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zc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.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zc</m:t>
                    </m:r>
                  </m:sub>
                </m:sSub>
              </m:oMath>
            </m:oMathPara>
          </w:p>
        </w:tc>
        <w:tc>
          <w:tcPr>
            <w:tcW w:w="2790" w:type="dxa"/>
          </w:tcPr>
          <w:p w14:paraId="01CB9EBB" w14:textId="77777777" w:rsidR="00A77F3F" w:rsidRPr="00230694" w:rsidRDefault="00A77F3F" w:rsidP="00C245AC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 xml:space="preserve">RACH capacity is enhanced. The number of the supported preambles is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w:br/>
              </m:r>
            </m:oMath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ZC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cs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eastAsiaTheme="minorEastAsia" w:hAnsi="Cambria Math"/>
                          </w:rPr>
                          <m:t>.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zc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-1</m:t>
                            </m:r>
                          </m:e>
                        </m:d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RP</m:t>
                        </m:r>
                      </m:sub>
                    </m:sSub>
                  </m:sup>
                </m:sSup>
              </m:oMath>
            </m:oMathPara>
          </w:p>
        </w:tc>
      </w:tr>
      <w:tr w:rsidR="00A77F3F" w14:paraId="1B662E18" w14:textId="77777777" w:rsidTr="00C245AC">
        <w:tc>
          <w:tcPr>
            <w:tcW w:w="630" w:type="dxa"/>
          </w:tcPr>
          <w:p w14:paraId="2081833C" w14:textId="77777777" w:rsidR="00A77F3F" w:rsidRPr="00230694" w:rsidRDefault="00A77F3F" w:rsidP="00C245AC">
            <w:pPr>
              <w:pStyle w:val="ListParagraph"/>
              <w:ind w:left="0"/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Cons</w:t>
            </w:r>
          </w:p>
        </w:tc>
        <w:tc>
          <w:tcPr>
            <w:tcW w:w="3330" w:type="dxa"/>
          </w:tcPr>
          <w:p w14:paraId="239454DD" w14:textId="77777777" w:rsidR="00A77F3F" w:rsidRPr="00230694" w:rsidRDefault="00A77F3F" w:rsidP="00C245AC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 xml:space="preserve">The capacity is increased linearly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RP</m:t>
                  </m:r>
                </m:sub>
              </m:sSub>
            </m:oMath>
            <w:r w:rsidRPr="00230694">
              <w:rPr>
                <w:rFonts w:ascii="Times New Roman" w:hAnsi="Times New Roman"/>
              </w:rPr>
              <w:t>. However, if there is no need for a huge number of preambles</w:t>
            </w:r>
            <w:r>
              <w:rPr>
                <w:rFonts w:ascii="Times New Roman" w:hAnsi="Times New Roman"/>
              </w:rPr>
              <w:t>, linearly increased capacity may be sufficient</w:t>
            </w:r>
          </w:p>
        </w:tc>
        <w:tc>
          <w:tcPr>
            <w:tcW w:w="2430" w:type="dxa"/>
          </w:tcPr>
          <w:p w14:paraId="0C886161" w14:textId="77777777" w:rsidR="00A77F3F" w:rsidRPr="00230694" w:rsidRDefault="00A77F3F" w:rsidP="00C245AC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High PAPR</w:t>
            </w:r>
          </w:p>
          <w:p w14:paraId="670C7777" w14:textId="77777777" w:rsidR="00A77F3F" w:rsidRPr="00230694" w:rsidRDefault="00A77F3F" w:rsidP="00C245AC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Higher complexity introduced by the M-sequence cover</w:t>
            </w:r>
          </w:p>
        </w:tc>
        <w:tc>
          <w:tcPr>
            <w:tcW w:w="2790" w:type="dxa"/>
          </w:tcPr>
          <w:p w14:paraId="644FF708" w14:textId="77777777" w:rsidR="00A77F3F" w:rsidRPr="00230694" w:rsidRDefault="00A77F3F" w:rsidP="00C245AC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>Ambiguity problem when there are multiple UE</w:t>
            </w:r>
            <w:r>
              <w:rPr>
                <w:rFonts w:ascii="Times New Roman" w:hAnsi="Times New Roman"/>
              </w:rPr>
              <w:t>s</w:t>
            </w:r>
            <w:r w:rsidRPr="00230694">
              <w:rPr>
                <w:rFonts w:ascii="Times New Roman" w:hAnsi="Times New Roman"/>
              </w:rPr>
              <w:t xml:space="preserve"> transmitting PRACH.</w:t>
            </w:r>
          </w:p>
          <w:p w14:paraId="6AC4CFD6" w14:textId="77777777" w:rsidR="00A77F3F" w:rsidRPr="00230694" w:rsidRDefault="00A77F3F" w:rsidP="00C245AC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230694">
              <w:rPr>
                <w:rFonts w:ascii="Times New Roman" w:hAnsi="Times New Roman"/>
              </w:rPr>
              <w:t xml:space="preserve">Worse detection performance. In order to successfully detect </w:t>
            </w:r>
            <w:r>
              <w:rPr>
                <w:rFonts w:ascii="Times New Roman" w:hAnsi="Times New Roman"/>
              </w:rPr>
              <w:t>P</w:t>
            </w:r>
            <w:r w:rsidRPr="00230694">
              <w:rPr>
                <w:rFonts w:ascii="Times New Roman" w:hAnsi="Times New Roman"/>
              </w:rPr>
              <w:t xml:space="preserve">RACH preamble with multiple different short sequences, the </w:t>
            </w:r>
            <w:proofErr w:type="spellStart"/>
            <w:r w:rsidRPr="00230694">
              <w:rPr>
                <w:rFonts w:ascii="Times New Roman" w:hAnsi="Times New Roman"/>
              </w:rPr>
              <w:t>gNB</w:t>
            </w:r>
            <w:proofErr w:type="spellEnd"/>
            <w:r w:rsidRPr="00230694">
              <w:rPr>
                <w:rFonts w:ascii="Times New Roman" w:hAnsi="Times New Roman"/>
              </w:rPr>
              <w:t xml:space="preserve"> need to successfully detect all of the multiple short sequences. The missed detection of any one of the short sequences will cause the failure of preamble detection.</w:t>
            </w:r>
          </w:p>
        </w:tc>
      </w:tr>
    </w:tbl>
    <w:p w14:paraId="3A03112E" w14:textId="77777777" w:rsidR="00A77F3F" w:rsidRDefault="00A77F3F" w:rsidP="00A77F3F">
      <w:pPr>
        <w:rPr>
          <w:rFonts w:eastAsia="MS Mincho"/>
          <w:lang w:eastAsia="ja-JP"/>
        </w:rPr>
      </w:pPr>
    </w:p>
    <w:p w14:paraId="22B6EFF9" w14:textId="77777777" w:rsidR="00A77F3F" w:rsidRDefault="00A77F3F" w:rsidP="00A77F3F">
      <w:pPr>
        <w:rPr>
          <w:rFonts w:eastAsia="MS Mincho"/>
          <w:lang w:eastAsia="ja-JP"/>
        </w:rPr>
      </w:pPr>
    </w:p>
    <w:p w14:paraId="5F20EA43" w14:textId="5811F4B0" w:rsidR="00A77F3F" w:rsidRDefault="00A77F3F" w:rsidP="00A77F3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detection performance was compared for pure ZC, covered ZC and OCC approaches at 30GHz, with PRACH subcarrier spacing of 60kHz under CDL-C channel. The covered ZC is generated by covering pure </w:t>
      </w:r>
      <w:r>
        <w:rPr>
          <w:rFonts w:eastAsia="MS Mincho"/>
          <w:lang w:eastAsia="ja-JP"/>
        </w:rPr>
        <w:lastRenderedPageBreak/>
        <w:t xml:space="preserve">ZC with the same length M-sequence, and the M-sequence is generated according to the method given in [6]. The evaluated ZC sequence and covered ZC sequence are both 139-length. The preamble formats evaluated in this section are given </w:t>
      </w:r>
      <w:r w:rsidRPr="00056F4C">
        <w:rPr>
          <w:rFonts w:eastAsia="MS Mincho"/>
          <w:lang w:eastAsia="ja-JP"/>
        </w:rPr>
        <w:t xml:space="preserve">in </w:t>
      </w:r>
      <w:r w:rsidRPr="00056F4C">
        <w:rPr>
          <w:rFonts w:eastAsia="MS Mincho"/>
          <w:lang w:eastAsia="ja-JP"/>
        </w:rPr>
        <w:fldChar w:fldCharType="begin"/>
      </w:r>
      <w:r w:rsidRPr="00056F4C">
        <w:rPr>
          <w:rFonts w:eastAsia="MS Mincho"/>
          <w:lang w:eastAsia="ja-JP"/>
        </w:rPr>
        <w:instrText xml:space="preserve"> REF _Ref492923718 \h  \* MERGEFORMAT </w:instrText>
      </w:r>
      <w:r w:rsidRPr="00056F4C">
        <w:rPr>
          <w:rFonts w:eastAsia="MS Mincho"/>
          <w:lang w:eastAsia="ja-JP"/>
        </w:rPr>
      </w:r>
      <w:r w:rsidRPr="00056F4C">
        <w:rPr>
          <w:rFonts w:eastAsia="MS Mincho"/>
          <w:lang w:eastAsia="ja-JP"/>
        </w:rPr>
        <w:fldChar w:fldCharType="separate"/>
      </w:r>
      <w:r w:rsidR="00867295" w:rsidRPr="00867295">
        <w:t xml:space="preserve">Table </w:t>
      </w:r>
      <w:r w:rsidR="00867295" w:rsidRPr="00867295">
        <w:rPr>
          <w:noProof/>
        </w:rPr>
        <w:t>2</w:t>
      </w:r>
      <w:r w:rsidRPr="00056F4C">
        <w:rPr>
          <w:rFonts w:eastAsia="MS Mincho"/>
          <w:lang w:eastAsia="ja-JP"/>
        </w:rPr>
        <w:fldChar w:fldCharType="end"/>
      </w:r>
      <w:r w:rsidRPr="00056F4C">
        <w:rPr>
          <w:rFonts w:eastAsia="MS Mincho"/>
          <w:lang w:eastAsia="ja-JP"/>
        </w:rPr>
        <w:t xml:space="preserve"> in Appendix, and the simulation assumptions are given in </w:t>
      </w:r>
      <w:r w:rsidRPr="00056F4C">
        <w:rPr>
          <w:rFonts w:eastAsia="MS Mincho"/>
          <w:lang w:eastAsia="ja-JP"/>
        </w:rPr>
        <w:fldChar w:fldCharType="begin"/>
      </w:r>
      <w:r w:rsidRPr="00056F4C">
        <w:rPr>
          <w:rFonts w:eastAsia="MS Mincho"/>
          <w:lang w:eastAsia="ja-JP"/>
        </w:rPr>
        <w:instrText xml:space="preserve"> REF _Ref492923727 \h  \* MERGEFORMAT </w:instrText>
      </w:r>
      <w:r w:rsidRPr="00056F4C">
        <w:rPr>
          <w:rFonts w:eastAsia="MS Mincho"/>
          <w:lang w:eastAsia="ja-JP"/>
        </w:rPr>
      </w:r>
      <w:r w:rsidRPr="00056F4C">
        <w:rPr>
          <w:rFonts w:eastAsia="MS Mincho"/>
          <w:lang w:eastAsia="ja-JP"/>
        </w:rPr>
        <w:fldChar w:fldCharType="separate"/>
      </w:r>
      <w:r w:rsidR="00867295" w:rsidRPr="00867295">
        <w:t xml:space="preserve">Table </w:t>
      </w:r>
      <w:r w:rsidR="00867295" w:rsidRPr="00867295">
        <w:rPr>
          <w:noProof/>
        </w:rPr>
        <w:t>3</w:t>
      </w:r>
      <w:r w:rsidRPr="00056F4C">
        <w:rPr>
          <w:rFonts w:eastAsia="MS Mincho"/>
          <w:lang w:eastAsia="ja-JP"/>
        </w:rPr>
        <w:fldChar w:fldCharType="end"/>
      </w:r>
      <w:r w:rsidRPr="00056F4C">
        <w:rPr>
          <w:rFonts w:eastAsia="MS Mincho"/>
          <w:lang w:eastAsia="ja-JP"/>
        </w:rPr>
        <w:t xml:space="preserve"> in</w:t>
      </w:r>
      <w:r>
        <w:rPr>
          <w:rFonts w:eastAsia="MS Mincho"/>
          <w:lang w:eastAsia="ja-JP"/>
        </w:rPr>
        <w:t xml:space="preserve"> Appendix. The simulated performance was shown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_Ref485394895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 w:rsidR="00867295" w:rsidRPr="00F53EF7">
        <w:t xml:space="preserve">Figure </w:t>
      </w:r>
      <w:r w:rsidR="00867295">
        <w:rPr>
          <w:noProof/>
        </w:rPr>
        <w:t>1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. </w:t>
      </w:r>
    </w:p>
    <w:p w14:paraId="0CC7FF22" w14:textId="77777777" w:rsidR="00A77F3F" w:rsidRDefault="00A77F3F" w:rsidP="00A77F3F">
      <w:pPr>
        <w:rPr>
          <w:rFonts w:eastAsia="MS Mincho"/>
          <w:lang w:eastAsia="ja-JP"/>
        </w:rPr>
      </w:pPr>
    </w:p>
    <w:p w14:paraId="6F937951" w14:textId="77777777" w:rsidR="00A77F3F" w:rsidRDefault="00A77F3F" w:rsidP="00A77F3F">
      <w:pPr>
        <w:jc w:val="center"/>
        <w:rPr>
          <w:rFonts w:eastAsia="MS Mincho"/>
          <w:lang w:eastAsia="ja-JP"/>
        </w:rPr>
      </w:pPr>
      <w:r w:rsidRPr="00721319">
        <w:rPr>
          <w:rFonts w:eastAsia="MS Mincho"/>
          <w:noProof/>
          <w:lang w:val="en-US" w:eastAsia="en-US"/>
        </w:rPr>
        <w:drawing>
          <wp:inline distT="0" distB="0" distL="0" distR="0" wp14:anchorId="6B2179CD" wp14:editId="7E4AA43B">
            <wp:extent cx="6120765" cy="485383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5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1FA96" w14:textId="087C47D7" w:rsidR="00A77F3F" w:rsidRDefault="00A77F3F" w:rsidP="00A77F3F">
      <w:pPr>
        <w:pStyle w:val="ListParagraph"/>
        <w:jc w:val="center"/>
        <w:rPr>
          <w:rFonts w:eastAsia="MS Mincho"/>
          <w:lang w:eastAsia="ja-JP"/>
        </w:rPr>
      </w:pPr>
      <w:bookmarkStart w:id="3" w:name="_Ref485394895"/>
      <w:r w:rsidRPr="00F53EF7">
        <w:t xml:space="preserve">Figure </w:t>
      </w:r>
      <w:fldSimple w:instr=" SEQ Figure \* ARABIC ">
        <w:r w:rsidR="00867295">
          <w:rPr>
            <w:noProof/>
          </w:rPr>
          <w:t>1</w:t>
        </w:r>
      </w:fldSimple>
      <w:bookmarkEnd w:id="3"/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PRACH Performance for Capacity Enhancement</w:t>
      </w:r>
    </w:p>
    <w:p w14:paraId="6C16FE2B" w14:textId="77777777" w:rsidR="00A77F3F" w:rsidRDefault="00A77F3F" w:rsidP="00A77F3F">
      <w:pPr>
        <w:jc w:val="center"/>
        <w:rPr>
          <w:rFonts w:eastAsia="MS Mincho"/>
          <w:lang w:eastAsia="ja-JP"/>
        </w:rPr>
      </w:pPr>
    </w:p>
    <w:p w14:paraId="4921A1DF" w14:textId="77777777" w:rsidR="00A77F3F" w:rsidRDefault="00A77F3F" w:rsidP="00A77F3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As shown in Figure 1, missed detection probability of pure ZC is lower than that of the covered ZC, and the performance gain is about 0.5 </w:t>
      </w:r>
      <w:proofErr w:type="spellStart"/>
      <w:r>
        <w:rPr>
          <w:rFonts w:eastAsia="MS Mincho"/>
          <w:lang w:eastAsia="ja-JP"/>
        </w:rPr>
        <w:t>dB.</w:t>
      </w:r>
      <w:proofErr w:type="spellEnd"/>
      <w:r>
        <w:rPr>
          <w:rFonts w:eastAsia="MS Mincho"/>
          <w:lang w:eastAsia="ja-JP"/>
        </w:rPr>
        <w:t xml:space="preserve"> This may be because the cross-correlation power of M-sequence covered ZC is higher than the cross-correlation power of pure ZC. The OCC scheme with repetition number of 2 has about 3dB performance gain compared with the pure ZC case, due to the coherent combining gain of two short sequences. </w:t>
      </w:r>
    </w:p>
    <w:p w14:paraId="2A4BB15E" w14:textId="77777777" w:rsidR="00A77F3F" w:rsidRDefault="00A77F3F" w:rsidP="00A77F3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Under the threshold corresponding to the targeted false alarm rate, the detection performance is evaluated. The missed detection occurs when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detected another preamble that is different with the preamble transmitted by UE, or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does detect any preamble when there is preamble transmitting.</w:t>
      </w:r>
    </w:p>
    <w:p w14:paraId="34E03652" w14:textId="3EB66F9F" w:rsidR="00A77F3F" w:rsidRDefault="00A77F3F" w:rsidP="00A77F3F">
      <w:pPr>
        <w:jc w:val="left"/>
        <w:rPr>
          <w:rFonts w:eastAsia="MS Mincho"/>
          <w:lang w:eastAsia="ja-JP"/>
        </w:rPr>
      </w:pPr>
    </w:p>
    <w:p w14:paraId="77E4FAC1" w14:textId="77777777" w:rsidR="00DB0B9D" w:rsidRDefault="00DB0B9D" w:rsidP="00A77F3F">
      <w:pPr>
        <w:jc w:val="left"/>
        <w:rPr>
          <w:rFonts w:eastAsia="MS Mincho"/>
          <w:lang w:eastAsia="ja-JP"/>
        </w:rPr>
      </w:pPr>
    </w:p>
    <w:p w14:paraId="1890B318" w14:textId="77777777" w:rsidR="00A77F3F" w:rsidRDefault="00A77F3F" w:rsidP="00A77F3F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Conclusions</w:t>
      </w:r>
    </w:p>
    <w:p w14:paraId="02336841" w14:textId="77777777" w:rsidR="00A77F3F" w:rsidRPr="002D3814" w:rsidRDefault="00A77F3F" w:rsidP="00A77F3F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design principles for </w:t>
      </w:r>
      <w:r>
        <w:t>PRACH for initial access for a beam-based approach in</w:t>
      </w:r>
      <w:r w:rsidRPr="00637119">
        <w:t xml:space="preserve"> NR.</w:t>
      </w:r>
      <w:r>
        <w:t xml:space="preserve"> We discussed issues related to</w:t>
      </w:r>
      <w:r w:rsidRPr="00AF5D8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PRACH capacity enhancement and beam management. </w:t>
      </w:r>
      <w:r>
        <w:t>W</w:t>
      </w:r>
      <w:r w:rsidRPr="00637119">
        <w:t xml:space="preserve">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09333280" w14:textId="77777777" w:rsidR="00A77F3F" w:rsidRPr="008C4F79" w:rsidRDefault="00A77F3F" w:rsidP="00A77F3F">
      <w:pPr>
        <w:rPr>
          <w:i/>
          <w:szCs w:val="22"/>
        </w:rPr>
      </w:pPr>
      <w:r>
        <w:rPr>
          <w:b/>
          <w:i/>
          <w:u w:val="single"/>
          <w:lang w:eastAsia="sv-SE"/>
        </w:rPr>
        <w:t>Proposal 1</w:t>
      </w:r>
      <w:r w:rsidRPr="00EE38DC">
        <w:rPr>
          <w:b/>
          <w:i/>
          <w:u w:val="single"/>
          <w:lang w:eastAsia="sv-SE"/>
        </w:rPr>
        <w:t xml:space="preserve">: </w:t>
      </w:r>
      <w:r>
        <w:rPr>
          <w:rFonts w:eastAsia="MS Mincho"/>
          <w:i/>
          <w:lang w:eastAsia="ja-JP"/>
        </w:rPr>
        <w:t>Capacity enhancement for PRACH may be considered.</w:t>
      </w:r>
    </w:p>
    <w:p w14:paraId="63CCC965" w14:textId="77777777" w:rsidR="00125678" w:rsidRDefault="00125678" w:rsidP="00125678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EE38DC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Need of PRACH format for capacity enhancement and beam management may be further investigated.</w:t>
      </w:r>
    </w:p>
    <w:p w14:paraId="03270B8D" w14:textId="77777777" w:rsidR="00A77F3F" w:rsidRDefault="00A77F3F" w:rsidP="00A77F3F">
      <w:pPr>
        <w:rPr>
          <w:i/>
        </w:rPr>
      </w:pPr>
    </w:p>
    <w:p w14:paraId="0BF2DB86" w14:textId="77777777" w:rsidR="00A77F3F" w:rsidRDefault="00A77F3F" w:rsidP="00A77F3F">
      <w:pPr>
        <w:rPr>
          <w:i/>
        </w:rPr>
      </w:pPr>
    </w:p>
    <w:p w14:paraId="7EDC5233" w14:textId="77777777" w:rsidR="00A77F3F" w:rsidRDefault="00A77F3F" w:rsidP="00A77F3F">
      <w:pPr>
        <w:rPr>
          <w:i/>
        </w:rPr>
      </w:pPr>
    </w:p>
    <w:p w14:paraId="654A6EBF" w14:textId="77777777" w:rsidR="00A77F3F" w:rsidRPr="008E759F" w:rsidRDefault="00A77F3F" w:rsidP="00A77F3F">
      <w:pPr>
        <w:rPr>
          <w:i/>
        </w:rPr>
      </w:pPr>
    </w:p>
    <w:p w14:paraId="738785B4" w14:textId="77777777" w:rsidR="00A77F3F" w:rsidRPr="00077CF3" w:rsidRDefault="00A77F3F" w:rsidP="00A77F3F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1212EF2" w14:textId="77777777" w:rsidR="00A77F3F" w:rsidRDefault="00A77F3F" w:rsidP="00A77F3F">
      <w:pPr>
        <w:pStyle w:val="Reference"/>
        <w:numPr>
          <w:ilvl w:val="0"/>
          <w:numId w:val="3"/>
        </w:numPr>
        <w:spacing w:after="0"/>
      </w:pPr>
      <w:bookmarkStart w:id="4" w:name="_Ref485306886"/>
      <w:bookmarkStart w:id="5" w:name="_Ref471649889"/>
      <w:bookmarkStart w:id="6" w:name="_Ref471598259"/>
      <w:bookmarkStart w:id="7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P.R.China</w:t>
      </w:r>
      <w:bookmarkEnd w:id="4"/>
      <w:proofErr w:type="spellEnd"/>
    </w:p>
    <w:p w14:paraId="6112CAC3" w14:textId="77777777" w:rsidR="00A77F3F" w:rsidRDefault="00A77F3F" w:rsidP="00A77F3F">
      <w:pPr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textAlignment w:val="auto"/>
      </w:pPr>
      <w:bookmarkStart w:id="8" w:name="_Ref485375564"/>
      <w:r w:rsidRPr="00BC3E32">
        <w:t>Chairman’s Notes, 3GPP TSG-RAN WG1 #85, 23rd – 27th May 2016, Nanjing, China</w:t>
      </w:r>
      <w:bookmarkEnd w:id="5"/>
      <w:bookmarkEnd w:id="8"/>
    </w:p>
    <w:p w14:paraId="28F9744E" w14:textId="77777777" w:rsidR="00A77F3F" w:rsidRDefault="00A77F3F" w:rsidP="00A77F3F">
      <w:pPr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textAlignment w:val="auto"/>
      </w:pPr>
      <w:bookmarkStart w:id="9" w:name="_Ref478070068"/>
      <w:bookmarkStart w:id="10" w:name="_Ref481756522"/>
      <w:r w:rsidRPr="00BC3E32">
        <w:t>Chairm</w:t>
      </w:r>
      <w:r>
        <w:t xml:space="preserve">an’s Notes, 3GPP TSG-RAN WG1 #88bis, 3rd – 7th April 2016, </w:t>
      </w:r>
      <w:bookmarkEnd w:id="9"/>
      <w:r>
        <w:t>Spokane, USA</w:t>
      </w:r>
      <w:bookmarkEnd w:id="10"/>
    </w:p>
    <w:p w14:paraId="04EFA989" w14:textId="77777777" w:rsidR="00A77F3F" w:rsidRDefault="00A77F3F" w:rsidP="00A77F3F">
      <w:pPr>
        <w:numPr>
          <w:ilvl w:val="0"/>
          <w:numId w:val="3"/>
        </w:numPr>
        <w:overflowPunct/>
        <w:autoSpaceDE/>
        <w:autoSpaceDN/>
        <w:adjustRightInd/>
        <w:spacing w:after="0" w:line="276" w:lineRule="auto"/>
        <w:textAlignment w:val="auto"/>
      </w:pPr>
      <w:bookmarkStart w:id="11" w:name="_Ref473842049"/>
      <w:bookmarkEnd w:id="6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1"/>
    </w:p>
    <w:p w14:paraId="79478E09" w14:textId="77777777" w:rsidR="00A77F3F" w:rsidRPr="003B5F3F" w:rsidRDefault="00A77F3F" w:rsidP="00A77F3F">
      <w:pPr>
        <w:pStyle w:val="Reference"/>
        <w:numPr>
          <w:ilvl w:val="0"/>
          <w:numId w:val="3"/>
        </w:numPr>
        <w:spacing w:after="0"/>
      </w:pPr>
      <w:bookmarkStart w:id="12" w:name="_Ref471744380"/>
      <w:bookmarkStart w:id="13" w:name="_Ref471744390"/>
      <w:bookmarkStart w:id="14" w:name="_Ref460871264"/>
      <w:bookmarkEnd w:id="7"/>
      <w:r w:rsidRPr="00E15315">
        <w:rPr>
          <w:szCs w:val="22"/>
        </w:rPr>
        <w:t>R1-</w:t>
      </w:r>
      <w:r w:rsidRPr="00E15315">
        <w:rPr>
          <w:szCs w:val="22"/>
          <w:lang w:val="en-US"/>
        </w:rPr>
        <w:t>16</w:t>
      </w:r>
      <w:r w:rsidRPr="00E15315">
        <w:rPr>
          <w:color w:val="000000"/>
          <w:szCs w:val="22"/>
        </w:rPr>
        <w:t>12630</w:t>
      </w:r>
      <w:r w:rsidRPr="00E15315">
        <w:rPr>
          <w:szCs w:val="22"/>
        </w:rPr>
        <w:t xml:space="preserve">, “Performance Evaluation for Beam Centric Design for Broadcast Channel”, </w:t>
      </w:r>
      <w:proofErr w:type="spellStart"/>
      <w:r w:rsidRPr="00E15315">
        <w:rPr>
          <w:szCs w:val="22"/>
        </w:rPr>
        <w:t>InterDigital</w:t>
      </w:r>
      <w:proofErr w:type="spellEnd"/>
      <w:r w:rsidRPr="003F7152">
        <w:t xml:space="preserve">, </w:t>
      </w:r>
      <w:r w:rsidRPr="00E15315">
        <w:rPr>
          <w:caps/>
        </w:rPr>
        <w:t>3GPP</w:t>
      </w:r>
      <w:r w:rsidRPr="003F7152">
        <w:t xml:space="preserve"> TSG-RAN WG1 Meeting #</w:t>
      </w:r>
      <w:r w:rsidRPr="00E15315">
        <w:rPr>
          <w:szCs w:val="22"/>
        </w:rPr>
        <w:t xml:space="preserve">87, </w:t>
      </w:r>
      <w:r w:rsidRPr="00E15315">
        <w:rPr>
          <w:szCs w:val="22"/>
          <w:lang w:val="en-US"/>
        </w:rPr>
        <w:t>Reno, USA, November 14-18, 2016</w:t>
      </w:r>
      <w:bookmarkEnd w:id="12"/>
      <w:bookmarkEnd w:id="13"/>
      <w:bookmarkEnd w:id="14"/>
    </w:p>
    <w:p w14:paraId="4920E1FC" w14:textId="77777777" w:rsidR="00A77F3F" w:rsidRDefault="00A77F3F" w:rsidP="00A77F3F">
      <w:pPr>
        <w:pStyle w:val="Reference"/>
        <w:numPr>
          <w:ilvl w:val="0"/>
          <w:numId w:val="3"/>
        </w:numPr>
        <w:spacing w:after="0"/>
      </w:pPr>
      <w:r>
        <w:rPr>
          <w:lang w:eastAsia="sv-SE"/>
        </w:rPr>
        <w:t>R1-</w:t>
      </w:r>
      <w:r w:rsidRPr="00C4204E">
        <w:rPr>
          <w:lang w:eastAsia="sv-SE"/>
        </w:rPr>
        <w:t>1709917</w:t>
      </w:r>
      <w:r>
        <w:rPr>
          <w:lang w:eastAsia="sv-SE"/>
        </w:rPr>
        <w:t>, “</w:t>
      </w:r>
      <w:r w:rsidRPr="00A30B11">
        <w:rPr>
          <w:lang w:eastAsia="sv-SE"/>
        </w:rPr>
        <w:t xml:space="preserve">PRACH preamble sequences and formats for </w:t>
      </w:r>
      <w:proofErr w:type="spellStart"/>
      <w:r w:rsidRPr="00A30B11">
        <w:rPr>
          <w:lang w:eastAsia="sv-SE"/>
        </w:rPr>
        <w:t>capactiy</w:t>
      </w:r>
      <w:proofErr w:type="spellEnd"/>
      <w:r w:rsidRPr="00A30B11">
        <w:rPr>
          <w:lang w:eastAsia="sv-SE"/>
        </w:rPr>
        <w:t xml:space="preserve"> enhancement and beam management</w:t>
      </w:r>
      <w:r>
        <w:rPr>
          <w:lang w:eastAsia="sv-SE"/>
        </w:rPr>
        <w:t>”, Huawei, 3GPP TSG RAN WG1 Meeting #89</w:t>
      </w:r>
    </w:p>
    <w:p w14:paraId="0D8A5DFC" w14:textId="77777777" w:rsidR="00A77F3F" w:rsidRDefault="00A77F3F" w:rsidP="00A77F3F">
      <w:pPr>
        <w:pStyle w:val="Reference"/>
        <w:numPr>
          <w:ilvl w:val="0"/>
          <w:numId w:val="3"/>
        </w:numPr>
        <w:spacing w:after="0"/>
      </w:pPr>
      <w:r>
        <w:rPr>
          <w:lang w:eastAsia="sv-SE"/>
        </w:rPr>
        <w:t>R1-</w:t>
      </w:r>
      <w:r w:rsidRPr="00C4204E">
        <w:rPr>
          <w:lang w:eastAsia="sv-SE"/>
        </w:rPr>
        <w:t>1711146</w:t>
      </w:r>
      <w:r>
        <w:rPr>
          <w:lang w:eastAsia="sv-SE"/>
        </w:rPr>
        <w:t>, “</w:t>
      </w:r>
      <w:r w:rsidRPr="00A30B11">
        <w:rPr>
          <w:lang w:eastAsia="sv-SE"/>
        </w:rPr>
        <w:t>PRACH Preamble Format for Capacity Enhancement</w:t>
      </w:r>
      <w:r>
        <w:rPr>
          <w:lang w:eastAsia="sv-SE"/>
        </w:rPr>
        <w:t>”, Qualcomm, 3GPP TSG RAN WG1 Meeting #89</w:t>
      </w:r>
    </w:p>
    <w:p w14:paraId="1044536F" w14:textId="77777777" w:rsidR="00A77F3F" w:rsidRDefault="00A77F3F" w:rsidP="00A77F3F">
      <w:pPr>
        <w:pStyle w:val="Reference"/>
        <w:numPr>
          <w:ilvl w:val="0"/>
          <w:numId w:val="3"/>
        </w:numPr>
        <w:spacing w:after="0"/>
      </w:pPr>
      <w:r>
        <w:rPr>
          <w:lang w:eastAsia="sv-SE"/>
        </w:rPr>
        <w:t>R1-1712357, “NR RACH Preamble Format for capacity enhancement”, CATT, 3GPP TSG RAN WG1 Meeting #90</w:t>
      </w:r>
    </w:p>
    <w:p w14:paraId="2841765C" w14:textId="77777777" w:rsidR="00A77F3F" w:rsidRDefault="00A77F3F" w:rsidP="00A77F3F">
      <w:pPr>
        <w:pStyle w:val="Reference"/>
        <w:numPr>
          <w:ilvl w:val="0"/>
          <w:numId w:val="3"/>
        </w:numPr>
        <w:spacing w:after="0"/>
        <w:rPr>
          <w:lang w:eastAsia="sv-SE"/>
        </w:rPr>
      </w:pPr>
      <w:r w:rsidRPr="00863ED5">
        <w:rPr>
          <w:lang w:eastAsia="sv-SE"/>
        </w:rPr>
        <w:t xml:space="preserve">R1713129, “Discussion on PRACH preamble for capacity enhancement”, LG Electronics, </w:t>
      </w:r>
      <w:r>
        <w:rPr>
          <w:lang w:eastAsia="sv-SE"/>
        </w:rPr>
        <w:t>3GPP TSG RAN WG1 Meeting #90</w:t>
      </w:r>
    </w:p>
    <w:p w14:paraId="72666144" w14:textId="77777777" w:rsidR="00A77F3F" w:rsidRDefault="00A77F3F" w:rsidP="00A77F3F">
      <w:pPr>
        <w:pStyle w:val="Reference"/>
        <w:numPr>
          <w:ilvl w:val="0"/>
          <w:numId w:val="3"/>
        </w:numPr>
        <w:spacing w:after="0"/>
        <w:rPr>
          <w:lang w:eastAsia="sv-SE"/>
        </w:rPr>
      </w:pPr>
      <w:r>
        <w:rPr>
          <w:lang w:eastAsia="sv-SE"/>
        </w:rPr>
        <w:t>R1-1712065,</w:t>
      </w:r>
      <w:r w:rsidRPr="009A0605">
        <w:rPr>
          <w:lang w:eastAsia="sv-SE"/>
        </w:rPr>
        <w:t xml:space="preserve"> </w:t>
      </w:r>
      <w:r>
        <w:rPr>
          <w:lang w:eastAsia="sv-SE"/>
        </w:rPr>
        <w:t>“</w:t>
      </w:r>
      <w:r w:rsidRPr="00863ED5">
        <w:rPr>
          <w:lang w:eastAsia="sv-SE"/>
        </w:rPr>
        <w:t>NR-PRACH: capacity enhancements and beam management</w:t>
      </w:r>
      <w:r>
        <w:rPr>
          <w:lang w:eastAsia="sv-SE"/>
        </w:rPr>
        <w:t>”, ZTE, 3GPP TSG RAN WG1 Meeting #90</w:t>
      </w:r>
    </w:p>
    <w:p w14:paraId="5CAE503B" w14:textId="77777777" w:rsidR="00A77F3F" w:rsidRPr="00675537" w:rsidRDefault="00A77F3F" w:rsidP="00A77F3F">
      <w:pPr>
        <w:pStyle w:val="Reference"/>
        <w:numPr>
          <w:ilvl w:val="0"/>
          <w:numId w:val="3"/>
        </w:numPr>
        <w:spacing w:after="0"/>
      </w:pPr>
      <w:r>
        <w:rPr>
          <w:lang w:eastAsia="sv-SE"/>
        </w:rPr>
        <w:t>NTT R1- 1713903, “</w:t>
      </w:r>
      <w:r w:rsidRPr="00863ED5">
        <w:rPr>
          <w:lang w:eastAsia="sv-SE"/>
        </w:rPr>
        <w:t>Discussion on PRACH preamble format details for capacity enhancement and beam management</w:t>
      </w:r>
      <w:r>
        <w:rPr>
          <w:lang w:eastAsia="sv-SE"/>
        </w:rPr>
        <w:t xml:space="preserve">”, </w:t>
      </w:r>
      <w:r w:rsidRPr="00863ED5">
        <w:rPr>
          <w:lang w:eastAsia="sv-SE"/>
        </w:rPr>
        <w:t xml:space="preserve">NTT DOCOMO, INC., </w:t>
      </w:r>
      <w:r w:rsidRPr="007157B0">
        <w:rPr>
          <w:lang w:eastAsia="sv-SE"/>
        </w:rPr>
        <w:t xml:space="preserve"> </w:t>
      </w:r>
      <w:r>
        <w:rPr>
          <w:lang w:eastAsia="sv-SE"/>
        </w:rPr>
        <w:t>ZTE, 3GPP TSG RAN WG1 Meeting #90</w:t>
      </w:r>
    </w:p>
    <w:p w14:paraId="2648E23E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551C3332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35E4FABA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2C738B30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67AF6D34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FFD49A5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2FF0C0B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D7DD850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6FE0587D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0CAFB50A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BC0FD66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5C617CF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5B8C2D4D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2BB2B94B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027B2F51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4AD2EB53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189AB223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01B0B12D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7C816055" w14:textId="4706E2C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0A599152" w14:textId="77777777" w:rsidR="00A77F3F" w:rsidRDefault="00A77F3F" w:rsidP="00A77F3F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Evaluation A</w:t>
      </w:r>
      <w:r w:rsidRPr="00BA2C33">
        <w:rPr>
          <w:rFonts w:cs="Arial"/>
          <w:lang w:val="en-US"/>
        </w:rPr>
        <w:t>ssumptions</w:t>
      </w:r>
    </w:p>
    <w:p w14:paraId="2928B4C2" w14:textId="77777777" w:rsidR="00A77F3F" w:rsidRPr="007C6F5A" w:rsidRDefault="00A77F3F" w:rsidP="00A77F3F">
      <w:pPr>
        <w:rPr>
          <w:lang w:val="en-US"/>
        </w:rPr>
      </w:pPr>
    </w:p>
    <w:p w14:paraId="19AB3246" w14:textId="55C552DE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b/>
        </w:rPr>
      </w:pPr>
      <w:bookmarkStart w:id="15" w:name="_Ref492923718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867295">
        <w:rPr>
          <w:b/>
          <w:noProof/>
        </w:rPr>
        <w:t>2</w:t>
      </w:r>
      <w:r w:rsidRPr="00285E84">
        <w:rPr>
          <w:b/>
        </w:rPr>
        <w:fldChar w:fldCharType="end"/>
      </w:r>
      <w:bookmarkEnd w:id="15"/>
      <w:r w:rsidRPr="00285E84">
        <w:rPr>
          <w:b/>
        </w:rPr>
        <w:t xml:space="preserve">. </w:t>
      </w:r>
      <w:r>
        <w:rPr>
          <w:b/>
        </w:rPr>
        <w:t xml:space="preserve"> PRACH format for different options used in evaluation of Section 4</w:t>
      </w:r>
    </w:p>
    <w:p w14:paraId="57B458F5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szCs w:val="22"/>
          <w:lang w:val="en-US"/>
        </w:rPr>
      </w:pPr>
    </w:p>
    <w:tbl>
      <w:tblPr>
        <w:tblW w:w="5099" w:type="pct"/>
        <w:tblInd w:w="-1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232"/>
        <w:gridCol w:w="1232"/>
        <w:gridCol w:w="851"/>
        <w:gridCol w:w="851"/>
        <w:gridCol w:w="1391"/>
        <w:gridCol w:w="1283"/>
        <w:gridCol w:w="1550"/>
      </w:tblGrid>
      <w:tr w:rsidR="00A77F3F" w:rsidRPr="00262798" w14:paraId="343019CB" w14:textId="77777777" w:rsidTr="00C245AC">
        <w:tc>
          <w:tcPr>
            <w:tcW w:w="723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C58B51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b/>
                <w:bCs/>
                <w:lang w:val="sv-SE" w:eastAsia="ja-JP"/>
              </w:rPr>
              <w:t>Sequence Type</w:t>
            </w:r>
            <w:r w:rsidRPr="00262798">
              <w:rPr>
                <w:b/>
                <w:bCs/>
                <w:lang w:val="sv-SE" w:eastAsia="ja-JP"/>
              </w:rPr>
              <w:t xml:space="preserve"> 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017E73E1" w14:textId="77777777" w:rsidR="00A77F3F" w:rsidRPr="00262798" w:rsidRDefault="00A77F3F" w:rsidP="00C245AC">
            <w:pPr>
              <w:rPr>
                <w:b/>
                <w:bCs/>
                <w:lang w:val="sv-SE" w:eastAsia="ja-JP"/>
              </w:rPr>
            </w:pPr>
            <w:r>
              <w:rPr>
                <w:b/>
                <w:bCs/>
                <w:lang w:val="sv-SE" w:eastAsia="ja-JP"/>
              </w:rPr>
              <w:t>Sequence length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01CDB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b/>
                <w:bCs/>
                <w:lang w:val="sv-SE" w:eastAsia="ja-JP"/>
              </w:rPr>
              <w:t xml:space="preserve">SCS(kHz) 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FFE83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b/>
                <w:bCs/>
                <w:lang w:val="sv-SE" w:eastAsia="ja-JP"/>
              </w:rPr>
              <w:t xml:space="preserve">N_OS 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3BDD5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b/>
                <w:bCs/>
                <w:lang w:val="sv-SE" w:eastAsia="ja-JP"/>
              </w:rPr>
              <w:t xml:space="preserve">N_RP </w:t>
            </w:r>
          </w:p>
        </w:tc>
        <w:tc>
          <w:tcPr>
            <w:tcW w:w="709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670D7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b/>
                <w:bCs/>
                <w:lang w:val="sv-SE" w:eastAsia="ja-JP"/>
              </w:rPr>
              <w:t xml:space="preserve">T_SEQ (Ts) </w:t>
            </w:r>
          </w:p>
        </w:tc>
        <w:tc>
          <w:tcPr>
            <w:tcW w:w="65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D3C77C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b/>
                <w:bCs/>
                <w:lang w:val="sv-SE" w:eastAsia="ja-JP"/>
              </w:rPr>
              <w:t xml:space="preserve">T_CP (Ts) </w:t>
            </w:r>
          </w:p>
        </w:tc>
        <w:tc>
          <w:tcPr>
            <w:tcW w:w="79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8E903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b/>
                <w:bCs/>
                <w:lang w:val="sv-SE" w:eastAsia="ja-JP"/>
              </w:rPr>
              <w:t>Ts (ms)</w:t>
            </w:r>
          </w:p>
        </w:tc>
      </w:tr>
      <w:tr w:rsidR="00A77F3F" w:rsidRPr="00262798" w14:paraId="1408989B" w14:textId="77777777" w:rsidTr="00C245AC">
        <w:tc>
          <w:tcPr>
            <w:tcW w:w="72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A4468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Pure ZC</w:t>
            </w:r>
          </w:p>
        </w:tc>
        <w:tc>
          <w:tcPr>
            <w:tcW w:w="62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05FF2473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139</w:t>
            </w:r>
          </w:p>
        </w:tc>
        <w:tc>
          <w:tcPr>
            <w:tcW w:w="62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5FB03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  <w:r w:rsidRPr="00262798">
              <w:rPr>
                <w:lang w:val="sv-SE" w:eastAsia="ja-JP"/>
              </w:rPr>
              <w:t xml:space="preserve"> </w:t>
            </w:r>
          </w:p>
        </w:tc>
        <w:tc>
          <w:tcPr>
            <w:tcW w:w="43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B7483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1</w:t>
            </w:r>
          </w:p>
        </w:tc>
        <w:tc>
          <w:tcPr>
            <w:tcW w:w="43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5197F0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lang w:val="sv-SE" w:eastAsia="ja-JP"/>
              </w:rPr>
              <w:t xml:space="preserve">1 </w:t>
            </w:r>
          </w:p>
        </w:tc>
        <w:tc>
          <w:tcPr>
            <w:tcW w:w="70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3E9D91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2048</w:t>
            </w:r>
          </w:p>
        </w:tc>
        <w:tc>
          <w:tcPr>
            <w:tcW w:w="65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2F932C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224</w:t>
            </w:r>
          </w:p>
        </w:tc>
        <w:tc>
          <w:tcPr>
            <w:tcW w:w="79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DF47A" w14:textId="77777777" w:rsidR="00A77F3F" w:rsidRPr="00262798" w:rsidRDefault="0045138C" w:rsidP="00C245AC">
            <w:pPr>
              <w:rPr>
                <w:lang w:val="sv-SE"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sv-SE"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sv-SE" w:eastAsia="ja-JP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sv-SE" w:eastAsia="ja-JP"/>
                      </w:rPr>
                      <m:t>30720*4</m:t>
                    </m:r>
                  </m:den>
                </m:f>
              </m:oMath>
            </m:oMathPara>
          </w:p>
        </w:tc>
      </w:tr>
      <w:tr w:rsidR="00A77F3F" w:rsidRPr="00262798" w14:paraId="5133315E" w14:textId="77777777" w:rsidTr="00C245AC">
        <w:tc>
          <w:tcPr>
            <w:tcW w:w="7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33333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M-sequence Covered ZC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495FEA8B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139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5A71E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D914D1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1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09DED" w14:textId="77777777" w:rsidR="00A77F3F" w:rsidRPr="00262798" w:rsidRDefault="00A77F3F" w:rsidP="00C245AC">
            <w:pPr>
              <w:rPr>
                <w:lang w:val="sv-SE" w:eastAsia="ja-JP"/>
              </w:rPr>
            </w:pPr>
            <w:r w:rsidRPr="00262798">
              <w:rPr>
                <w:lang w:val="sv-SE" w:eastAsia="ja-JP"/>
              </w:rPr>
              <w:t xml:space="preserve">1 </w:t>
            </w:r>
          </w:p>
        </w:tc>
        <w:tc>
          <w:tcPr>
            <w:tcW w:w="7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7344A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2048</w:t>
            </w:r>
          </w:p>
        </w:tc>
        <w:tc>
          <w:tcPr>
            <w:tcW w:w="6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5DAE4A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224</w:t>
            </w:r>
          </w:p>
        </w:tc>
        <w:tc>
          <w:tcPr>
            <w:tcW w:w="79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F3FCB9" w14:textId="77777777" w:rsidR="00A77F3F" w:rsidRPr="00262798" w:rsidRDefault="0045138C" w:rsidP="00C245AC">
            <w:pPr>
              <w:rPr>
                <w:lang w:val="sv-SE"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sv-SE"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sv-SE" w:eastAsia="ja-JP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sv-SE" w:eastAsia="ja-JP"/>
                      </w:rPr>
                      <m:t>30720*4</m:t>
                    </m:r>
                  </m:den>
                </m:f>
              </m:oMath>
            </m:oMathPara>
          </w:p>
        </w:tc>
      </w:tr>
      <w:tr w:rsidR="00A77F3F" w:rsidRPr="00262798" w14:paraId="23AD88CF" w14:textId="77777777" w:rsidTr="00C245AC">
        <w:tc>
          <w:tcPr>
            <w:tcW w:w="72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F9C861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Pure ZC with OCC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088F3ED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139</w:t>
            </w:r>
          </w:p>
        </w:tc>
        <w:tc>
          <w:tcPr>
            <w:tcW w:w="6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0297E6" w14:textId="77777777" w:rsidR="00A77F3F" w:rsidRPr="00262798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60</w:t>
            </w:r>
            <w:r w:rsidRPr="00262798">
              <w:rPr>
                <w:lang w:val="sv-SE" w:eastAsia="ja-JP"/>
              </w:rPr>
              <w:t xml:space="preserve"> 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8A335E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</w:t>
            </w:r>
          </w:p>
        </w:tc>
        <w:tc>
          <w:tcPr>
            <w:tcW w:w="43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E14456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</w:t>
            </w:r>
            <w:r w:rsidRPr="00262798">
              <w:rPr>
                <w:lang w:val="sv-SE" w:eastAsia="ja-JP"/>
              </w:rPr>
              <w:t xml:space="preserve"> </w:t>
            </w:r>
          </w:p>
        </w:tc>
        <w:tc>
          <w:tcPr>
            <w:tcW w:w="70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077102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2048</w:t>
            </w:r>
          </w:p>
        </w:tc>
        <w:tc>
          <w:tcPr>
            <w:tcW w:w="65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87246F" w14:textId="77777777" w:rsidR="00A77F3F" w:rsidRDefault="00A77F3F" w:rsidP="00C245AC">
            <w:pPr>
              <w:rPr>
                <w:lang w:val="sv-SE" w:eastAsia="ja-JP"/>
              </w:rPr>
            </w:pPr>
            <w:r>
              <w:rPr>
                <w:lang w:val="sv-SE" w:eastAsia="ja-JP"/>
              </w:rPr>
              <w:t>224</w:t>
            </w:r>
          </w:p>
        </w:tc>
        <w:tc>
          <w:tcPr>
            <w:tcW w:w="79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8D6D79" w14:textId="77777777" w:rsidR="00A77F3F" w:rsidRDefault="0045138C" w:rsidP="00C245AC">
            <w:pPr>
              <w:rPr>
                <w:lang w:val="sv-SE" w:eastAsia="ja-JP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sv-SE"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sv-SE" w:eastAsia="ja-JP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sv-SE" w:eastAsia="ja-JP"/>
                      </w:rPr>
                      <m:t>30720*4</m:t>
                    </m:r>
                  </m:den>
                </m:f>
              </m:oMath>
            </m:oMathPara>
          </w:p>
        </w:tc>
      </w:tr>
    </w:tbl>
    <w:p w14:paraId="53663C79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jc w:val="center"/>
      </w:pPr>
    </w:p>
    <w:p w14:paraId="142ACE8B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jc w:val="center"/>
      </w:pPr>
    </w:p>
    <w:p w14:paraId="49426324" w14:textId="0F85BB4B" w:rsidR="00A77F3F" w:rsidRDefault="00A77F3F" w:rsidP="00A77F3F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16" w:name="_Ref492923727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867295">
        <w:rPr>
          <w:b/>
          <w:noProof/>
        </w:rPr>
        <w:t>3</w:t>
      </w:r>
      <w:r w:rsidRPr="00285E84">
        <w:rPr>
          <w:b/>
        </w:rPr>
        <w:fldChar w:fldCharType="end"/>
      </w:r>
      <w:bookmarkEnd w:id="16"/>
      <w:r w:rsidRPr="00285E84">
        <w:rPr>
          <w:b/>
        </w:rPr>
        <w:t xml:space="preserve">.  </w:t>
      </w:r>
      <w:r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12E24235" w14:textId="77777777" w:rsidR="00A77F3F" w:rsidRPr="00285E84" w:rsidRDefault="00A77F3F" w:rsidP="00A77F3F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5590"/>
      </w:tblGrid>
      <w:tr w:rsidR="00A77F3F" w14:paraId="004C4273" w14:textId="77777777" w:rsidTr="00C245AC">
        <w:trPr>
          <w:trHeight w:val="261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12B4D6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Carrier Frequency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1B03775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30GHz</w:t>
            </w:r>
          </w:p>
        </w:tc>
      </w:tr>
      <w:tr w:rsidR="00A77F3F" w14:paraId="701B63E6" w14:textId="77777777" w:rsidTr="00C245AC">
        <w:trPr>
          <w:trHeight w:val="261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89DD913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Subcarrier Spacing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A9D5039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60KHz</w:t>
            </w:r>
          </w:p>
        </w:tc>
      </w:tr>
      <w:tr w:rsidR="00A77F3F" w14:paraId="318EDAF9" w14:textId="77777777" w:rsidTr="00C245AC">
        <w:trPr>
          <w:trHeight w:val="261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D47144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Channel Model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20A25EE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CDL-C</w:t>
            </w:r>
          </w:p>
          <w:p w14:paraId="7A5DE856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With delay scaling values of 30 ns</w:t>
            </w:r>
          </w:p>
          <w:p w14:paraId="7FA71304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With ASA and ASD scaling values in sec. 7.7.5.1 in 38.900, for above 6 GHz cases</w:t>
            </w:r>
          </w:p>
          <w:p w14:paraId="47917052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 xml:space="preserve">ZSA = 5 degree, ZSD = 1 degree </w:t>
            </w:r>
          </w:p>
        </w:tc>
      </w:tr>
      <w:tr w:rsidR="00A77F3F" w14:paraId="2036D99E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734C7C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Antenna Configuration at the TRP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24A1C91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 xml:space="preserve">(4, 8, 2), with directional antenna element </w:t>
            </w:r>
          </w:p>
        </w:tc>
      </w:tr>
      <w:tr w:rsidR="00A77F3F" w14:paraId="47DBE609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474E73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Antenna Configuration at the UE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19979A2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 w:rsidRPr="001F3664">
              <w:rPr>
                <w:rFonts w:eastAsia="Arial Unicode MS" w:cs="Arial"/>
                <w:kern w:val="2"/>
                <w:sz w:val="21"/>
              </w:rPr>
              <w:t xml:space="preserve">(1,1,2) </w:t>
            </w:r>
            <w:r>
              <w:rPr>
                <w:rFonts w:eastAsia="Arial Unicode MS" w:cs="Arial"/>
                <w:kern w:val="2"/>
                <w:sz w:val="21"/>
              </w:rPr>
              <w:t>with omni-directional antenna element</w:t>
            </w:r>
          </w:p>
        </w:tc>
      </w:tr>
      <w:tr w:rsidR="00A77F3F" w14:paraId="29B7AF19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A14CB39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Frequency Offset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AC52F62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 xml:space="preserve">+/- 0.05 ppm at TRP </w:t>
            </w:r>
          </w:p>
        </w:tc>
      </w:tr>
      <w:tr w:rsidR="00A77F3F" w14:paraId="0B58944D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6C52C86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UE speed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549CD5F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3 km/h</w:t>
            </w:r>
          </w:p>
        </w:tc>
      </w:tr>
      <w:tr w:rsidR="00A77F3F" w14:paraId="77C105BD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03DF8D4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Initial timing Offset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47FD952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No initial timing offset</w:t>
            </w:r>
          </w:p>
        </w:tc>
      </w:tr>
      <w:tr w:rsidR="00A77F3F" w14:paraId="2910921A" w14:textId="77777777" w:rsidTr="00C245AC">
        <w:trPr>
          <w:trHeight w:val="522"/>
          <w:jc w:val="center"/>
        </w:trPr>
        <w:tc>
          <w:tcPr>
            <w:tcW w:w="2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3061387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>SNR</w:t>
            </w:r>
          </w:p>
        </w:tc>
        <w:tc>
          <w:tcPr>
            <w:tcW w:w="5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280339" w14:textId="77777777" w:rsidR="00A77F3F" w:rsidRDefault="00A77F3F" w:rsidP="00C245AC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/>
              <w:jc w:val="left"/>
              <w:textAlignment w:val="auto"/>
            </w:pPr>
            <w:r>
              <w:t xml:space="preserve">Per </w:t>
            </w:r>
            <w:proofErr w:type="spellStart"/>
            <w:r>
              <w:t>tone</w:t>
            </w:r>
            <w:proofErr w:type="spellEnd"/>
            <w:r>
              <w:t xml:space="preserve"> SNR at receiver after beamforming</w:t>
            </w:r>
          </w:p>
        </w:tc>
      </w:tr>
    </w:tbl>
    <w:p w14:paraId="7BC1B49A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jc w:val="center"/>
      </w:pPr>
    </w:p>
    <w:p w14:paraId="513A6AE2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jc w:val="center"/>
      </w:pPr>
    </w:p>
    <w:p w14:paraId="49235284" w14:textId="77777777" w:rsidR="00A77F3F" w:rsidRDefault="00A77F3F" w:rsidP="00A77F3F">
      <w:pPr>
        <w:pStyle w:val="Reference"/>
        <w:numPr>
          <w:ilvl w:val="0"/>
          <w:numId w:val="0"/>
        </w:numPr>
        <w:spacing w:after="0"/>
        <w:ind w:left="567" w:hanging="567"/>
        <w:rPr>
          <w:szCs w:val="22"/>
          <w:lang w:val="en-US"/>
        </w:rPr>
      </w:pPr>
    </w:p>
    <w:p w14:paraId="6A7682FE" w14:textId="77777777" w:rsidR="00C40706" w:rsidRPr="00A77F3F" w:rsidRDefault="00C40706" w:rsidP="00A77F3F"/>
    <w:sectPr w:rsidR="00C40706" w:rsidRPr="00A77F3F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91CF0" w14:textId="77777777" w:rsidR="0045138C" w:rsidRDefault="0045138C">
      <w:pPr>
        <w:spacing w:after="0"/>
      </w:pPr>
      <w:r>
        <w:separator/>
      </w:r>
    </w:p>
  </w:endnote>
  <w:endnote w:type="continuationSeparator" w:id="0">
    <w:p w14:paraId="3F7166F5" w14:textId="77777777" w:rsidR="0045138C" w:rsidRDefault="004513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2FECA" w14:textId="1795E186" w:rsidR="00603A6F" w:rsidRDefault="00C4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72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729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AC3F7" w14:textId="77777777" w:rsidR="0045138C" w:rsidRDefault="0045138C">
      <w:pPr>
        <w:spacing w:after="0"/>
      </w:pPr>
      <w:r>
        <w:separator/>
      </w:r>
    </w:p>
  </w:footnote>
  <w:footnote w:type="continuationSeparator" w:id="0">
    <w:p w14:paraId="5BC5A39D" w14:textId="77777777" w:rsidR="0045138C" w:rsidRDefault="004513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302E8"/>
    <w:multiLevelType w:val="hybridMultilevel"/>
    <w:tmpl w:val="792AC92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D93098"/>
    <w:multiLevelType w:val="hybridMultilevel"/>
    <w:tmpl w:val="6B6A2B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456F3"/>
    <w:multiLevelType w:val="hybridMultilevel"/>
    <w:tmpl w:val="E9EEE5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1F45C2"/>
    <w:multiLevelType w:val="hybridMultilevel"/>
    <w:tmpl w:val="D7264D3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6F3904"/>
    <w:multiLevelType w:val="hybridMultilevel"/>
    <w:tmpl w:val="36F83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8E2AD9"/>
    <w:multiLevelType w:val="hybridMultilevel"/>
    <w:tmpl w:val="E556A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821AB"/>
    <w:multiLevelType w:val="hybridMultilevel"/>
    <w:tmpl w:val="A538D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DF244C"/>
    <w:multiLevelType w:val="hybridMultilevel"/>
    <w:tmpl w:val="6E0C5134"/>
    <w:lvl w:ilvl="0" w:tplc="C08A1B2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E2BA9954">
      <w:start w:val="45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CB58AB3A">
      <w:start w:val="45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3BE62EE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2CA07AF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ABB48D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B9C0A65C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958EE568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50E6DB70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698F551A"/>
    <w:multiLevelType w:val="hybridMultilevel"/>
    <w:tmpl w:val="68585D36"/>
    <w:lvl w:ilvl="0" w:tplc="7E1682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92326"/>
    <w:multiLevelType w:val="hybridMultilevel"/>
    <w:tmpl w:val="67D615B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1">
      <w:start w:val="1"/>
      <w:numFmt w:val="decimal"/>
      <w:lvlText w:val="%3)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D97132E"/>
    <w:multiLevelType w:val="hybridMultilevel"/>
    <w:tmpl w:val="EB666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F715D5C"/>
    <w:multiLevelType w:val="hybridMultilevel"/>
    <w:tmpl w:val="52A2A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4"/>
  </w:num>
  <w:num w:numId="5">
    <w:abstractNumId w:val="13"/>
  </w:num>
  <w:num w:numId="6">
    <w:abstractNumId w:val="5"/>
  </w:num>
  <w:num w:numId="7">
    <w:abstractNumId w:val="2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7"/>
  </w:num>
  <w:num w:numId="13">
    <w:abstractNumId w:val="8"/>
  </w:num>
  <w:num w:numId="14">
    <w:abstractNumId w:val="3"/>
  </w:num>
  <w:num w:numId="15">
    <w:abstractNumId w:val="15"/>
  </w:num>
  <w:num w:numId="16">
    <w:abstractNumId w:val="11"/>
  </w:num>
  <w:num w:numId="17">
    <w:abstractNumId w:val="9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E5"/>
    <w:rsid w:val="000108B1"/>
    <w:rsid w:val="00051EEC"/>
    <w:rsid w:val="000B147D"/>
    <w:rsid w:val="000C4049"/>
    <w:rsid w:val="001237A1"/>
    <w:rsid w:val="00125678"/>
    <w:rsid w:val="00146E14"/>
    <w:rsid w:val="00151309"/>
    <w:rsid w:val="00185636"/>
    <w:rsid w:val="001A5126"/>
    <w:rsid w:val="001D51A5"/>
    <w:rsid w:val="001E012B"/>
    <w:rsid w:val="001E0661"/>
    <w:rsid w:val="002010C4"/>
    <w:rsid w:val="0029438A"/>
    <w:rsid w:val="00313B50"/>
    <w:rsid w:val="00330817"/>
    <w:rsid w:val="003438D9"/>
    <w:rsid w:val="00397E01"/>
    <w:rsid w:val="003B5F3F"/>
    <w:rsid w:val="003F317A"/>
    <w:rsid w:val="004268E7"/>
    <w:rsid w:val="0045138C"/>
    <w:rsid w:val="00483F43"/>
    <w:rsid w:val="004A51E5"/>
    <w:rsid w:val="004A5A80"/>
    <w:rsid w:val="004B78D6"/>
    <w:rsid w:val="0050681A"/>
    <w:rsid w:val="00557417"/>
    <w:rsid w:val="005D32A3"/>
    <w:rsid w:val="00621984"/>
    <w:rsid w:val="00646CE8"/>
    <w:rsid w:val="006C512F"/>
    <w:rsid w:val="006D6345"/>
    <w:rsid w:val="006E6FEC"/>
    <w:rsid w:val="007115DF"/>
    <w:rsid w:val="007157B0"/>
    <w:rsid w:val="00721319"/>
    <w:rsid w:val="007402D4"/>
    <w:rsid w:val="00764AC2"/>
    <w:rsid w:val="00790A48"/>
    <w:rsid w:val="00790DCC"/>
    <w:rsid w:val="007D58E6"/>
    <w:rsid w:val="008142AC"/>
    <w:rsid w:val="00834A32"/>
    <w:rsid w:val="008404A8"/>
    <w:rsid w:val="00845443"/>
    <w:rsid w:val="00863ED5"/>
    <w:rsid w:val="00867295"/>
    <w:rsid w:val="00881C33"/>
    <w:rsid w:val="0090632D"/>
    <w:rsid w:val="00923616"/>
    <w:rsid w:val="0092628F"/>
    <w:rsid w:val="00933800"/>
    <w:rsid w:val="00935A2A"/>
    <w:rsid w:val="009644D2"/>
    <w:rsid w:val="0099684A"/>
    <w:rsid w:val="009A0605"/>
    <w:rsid w:val="009C3216"/>
    <w:rsid w:val="009D34F1"/>
    <w:rsid w:val="00A267AA"/>
    <w:rsid w:val="00A30B11"/>
    <w:rsid w:val="00A77F3F"/>
    <w:rsid w:val="00AD5E70"/>
    <w:rsid w:val="00AF3721"/>
    <w:rsid w:val="00B113C5"/>
    <w:rsid w:val="00B803C6"/>
    <w:rsid w:val="00B81937"/>
    <w:rsid w:val="00B92AEA"/>
    <w:rsid w:val="00B95B85"/>
    <w:rsid w:val="00BA7A0B"/>
    <w:rsid w:val="00C40706"/>
    <w:rsid w:val="00C6724E"/>
    <w:rsid w:val="00C8456B"/>
    <w:rsid w:val="00CF2074"/>
    <w:rsid w:val="00CF4169"/>
    <w:rsid w:val="00D61436"/>
    <w:rsid w:val="00D805F0"/>
    <w:rsid w:val="00D95876"/>
    <w:rsid w:val="00DB0B9D"/>
    <w:rsid w:val="00E156E0"/>
    <w:rsid w:val="00E233D8"/>
    <w:rsid w:val="00E72552"/>
    <w:rsid w:val="00EC1BD6"/>
    <w:rsid w:val="00EF335A"/>
    <w:rsid w:val="00F55908"/>
    <w:rsid w:val="00F75E47"/>
    <w:rsid w:val="00FF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A5DDD"/>
  <w15:chartTrackingRefBased/>
  <w15:docId w15:val="{404C23CE-B055-4778-85ED-C2B04A11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70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407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407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4070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C4070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407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4070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C4070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C407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407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40706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40706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40706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0706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40706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40706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40706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40706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40706"/>
    <w:rPr>
      <w:rFonts w:ascii="Arial" w:eastAsia="SimSun" w:hAnsi="Arial" w:cs="Arial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C40706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C40706"/>
    <w:rPr>
      <w:rFonts w:ascii="Arial" w:eastAsia="SimSu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C40706"/>
    <w:pPr>
      <w:numPr>
        <w:numId w:val="2"/>
      </w:numPr>
    </w:pPr>
  </w:style>
  <w:style w:type="character" w:styleId="PageNumber">
    <w:name w:val="page number"/>
    <w:basedOn w:val="DefaultParagraphFont"/>
    <w:semiHidden/>
    <w:rsid w:val="00C40706"/>
  </w:style>
  <w:style w:type="paragraph" w:styleId="ListParagraph">
    <w:name w:val="List Paragraph"/>
    <w:basedOn w:val="Normal"/>
    <w:link w:val="ListParagraphChar"/>
    <w:uiPriority w:val="34"/>
    <w:qFormat/>
    <w:rsid w:val="00C4070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C4070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4070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07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C4070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0706"/>
    <w:rPr>
      <w:rFonts w:ascii="Times New Roman" w:eastAsia="SimSun" w:hAnsi="Times New Roman" w:cs="Times New Roman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4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4A8"/>
    <w:rPr>
      <w:rFonts w:ascii="Segoe UI" w:eastAsia="SimSun" w:hAnsi="Segoe UI" w:cs="Segoe UI"/>
      <w:sz w:val="18"/>
      <w:szCs w:val="1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D95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876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876"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1512-99A5-4863-80DD-0A2F0597F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285E4C-E50F-462D-AB24-3D8CEEB9C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0E1BE-4B28-4E58-8E9B-42CC116918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201F4D-62D5-4851-89B2-DAF04DE2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R1-1716461 On PRACH preamble format for capacity enhancement and beam management_DRAFT</vt:lpstr>
    </vt:vector>
  </TitlesOfParts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R1-1716461 On PRACH preamble format for capacity enhancement and beam management_DRAFT</dc:title>
  <dc:subject/>
  <dc:creator>Qin, HaoHao</dc:creator>
  <cp:keywords/>
  <dc:description/>
  <cp:lastModifiedBy>Pan, Kyle</cp:lastModifiedBy>
  <cp:revision>4</cp:revision>
  <dcterms:created xsi:type="dcterms:W3CDTF">2017-09-12T03:46:00Z</dcterms:created>
  <dcterms:modified xsi:type="dcterms:W3CDTF">2017-09-12T04:00:00Z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